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EE" w:rsidRDefault="00C87BEE" w:rsidP="000E5CD0">
      <w:pPr>
        <w:shd w:val="clear" w:color="auto" w:fill="FFFFFF"/>
        <w:spacing w:line="360" w:lineRule="auto"/>
        <w:outlineLvl w:val="0"/>
        <w:rPr>
          <w:rFonts w:ascii="Segoe UI" w:hAnsi="Segoe UI" w:cs="Segoe UI"/>
          <w:b/>
          <w:color w:val="000000"/>
          <w:kern w:val="36"/>
          <w:sz w:val="32"/>
          <w:szCs w:val="32"/>
        </w:rPr>
      </w:pPr>
    </w:p>
    <w:p w:rsidR="000E5CD0" w:rsidRPr="000E5CD0" w:rsidRDefault="000E5CD0" w:rsidP="000E5CD0">
      <w:pPr>
        <w:jc w:val="center"/>
        <w:rPr>
          <w:rFonts w:ascii="Segoe UI" w:eastAsia="Calibri" w:hAnsi="Segoe UI" w:cs="Segoe UI"/>
          <w:b/>
          <w:sz w:val="28"/>
          <w:szCs w:val="28"/>
        </w:rPr>
      </w:pPr>
      <w:r w:rsidRPr="000E5CD0">
        <w:rPr>
          <w:rFonts w:ascii="Segoe UI" w:eastAsia="Calibri" w:hAnsi="Segoe UI" w:cs="Segoe UI"/>
          <w:b/>
          <w:sz w:val="28"/>
          <w:szCs w:val="28"/>
        </w:rPr>
        <w:t>Долевое участие в строительстве – способ минимизировать риски при покупке квартиры в строящемся доме</w:t>
      </w:r>
      <w:r w:rsidR="00DF718B">
        <w:rPr>
          <w:rFonts w:ascii="Segoe UI" w:eastAsia="Calibri" w:hAnsi="Segoe UI" w:cs="Segoe UI"/>
          <w:b/>
          <w:sz w:val="28"/>
          <w:szCs w:val="28"/>
        </w:rPr>
        <w:t xml:space="preserve"> (часть </w:t>
      </w:r>
      <w:r w:rsidR="00884EF9">
        <w:rPr>
          <w:rFonts w:ascii="Segoe UI" w:eastAsia="Calibri" w:hAnsi="Segoe UI" w:cs="Segoe UI"/>
          <w:b/>
          <w:sz w:val="28"/>
          <w:szCs w:val="28"/>
        </w:rPr>
        <w:t>3</w:t>
      </w:r>
      <w:r w:rsidR="00DF718B">
        <w:rPr>
          <w:rFonts w:ascii="Segoe UI" w:eastAsia="Calibri" w:hAnsi="Segoe UI" w:cs="Segoe UI"/>
          <w:b/>
          <w:sz w:val="28"/>
          <w:szCs w:val="28"/>
        </w:rPr>
        <w:t>)</w:t>
      </w:r>
    </w:p>
    <w:p w:rsidR="000E5CD0" w:rsidRPr="000E5CD0" w:rsidRDefault="000E5CD0" w:rsidP="000E5CD0">
      <w:pPr>
        <w:jc w:val="both"/>
        <w:rPr>
          <w:rFonts w:ascii="Segoe UI" w:eastAsia="Calibri" w:hAnsi="Segoe UI" w:cs="Segoe UI"/>
        </w:rPr>
      </w:pPr>
    </w:p>
    <w:p w:rsidR="00884EF9" w:rsidRDefault="00884EF9" w:rsidP="00884EF9">
      <w:pPr>
        <w:ind w:firstLine="540"/>
        <w:jc w:val="both"/>
        <w:rPr>
          <w:rFonts w:ascii="Segoe UI" w:eastAsia="Calibri" w:hAnsi="Segoe UI" w:cs="Segoe UI"/>
        </w:rPr>
      </w:pPr>
      <w:r w:rsidRPr="000E5CD0">
        <w:rPr>
          <w:rFonts w:ascii="Segoe UI" w:eastAsia="Calibri" w:hAnsi="Segoe UI" w:cs="Segoe UI"/>
        </w:rPr>
        <w:t>Управление Росреестра по Республике Карелия продолжает цикл публикаций о таком способе приобретения жилья, как долевое строительство.</w:t>
      </w:r>
    </w:p>
    <w:p w:rsidR="00884EF9" w:rsidRPr="00884EF9" w:rsidRDefault="00884EF9" w:rsidP="00884EF9">
      <w:pPr>
        <w:pStyle w:val="aa"/>
        <w:spacing w:before="0" w:beforeAutospacing="0" w:after="0" w:afterAutospacing="0"/>
        <w:ind w:firstLine="567"/>
        <w:jc w:val="both"/>
        <w:rPr>
          <w:rFonts w:ascii="Segoe UI" w:eastAsia="Calibri" w:hAnsi="Segoe UI" w:cs="Segoe UI"/>
        </w:rPr>
      </w:pPr>
      <w:r w:rsidRPr="00884EF9">
        <w:rPr>
          <w:rFonts w:ascii="Segoe UI" w:eastAsia="Calibri" w:hAnsi="Segoe UI" w:cs="Segoe UI"/>
        </w:rPr>
        <w:t>Объект долевого строительства представляет собой жилое или нежилое помещение, машино-место,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w:t>
      </w:r>
    </w:p>
    <w:p w:rsidR="00884EF9" w:rsidRPr="00884EF9" w:rsidRDefault="00884EF9" w:rsidP="00884EF9">
      <w:pPr>
        <w:pStyle w:val="aa"/>
        <w:spacing w:before="0" w:beforeAutospacing="0" w:after="0" w:afterAutospacing="0"/>
        <w:ind w:firstLine="567"/>
        <w:jc w:val="both"/>
        <w:rPr>
          <w:rFonts w:ascii="Segoe UI" w:eastAsia="Calibri" w:hAnsi="Segoe UI" w:cs="Segoe UI"/>
        </w:rPr>
      </w:pPr>
      <w:r w:rsidRPr="00884EF9">
        <w:rPr>
          <w:rFonts w:ascii="Segoe UI" w:eastAsia="Calibri" w:hAnsi="Segoe UI" w:cs="Segoe UI"/>
        </w:rPr>
        <w:t>По договору участия в долевом строительстве застройщик обязуется в предусмотренный договором срок своими силами и (или) с привлечением других лиц построить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В свою очередь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884EF9" w:rsidRPr="00884EF9" w:rsidRDefault="00884EF9" w:rsidP="00884EF9">
      <w:pPr>
        <w:pStyle w:val="aa"/>
        <w:spacing w:before="0" w:beforeAutospacing="0" w:after="0" w:afterAutospacing="0"/>
        <w:ind w:firstLine="567"/>
        <w:jc w:val="both"/>
        <w:rPr>
          <w:rFonts w:ascii="Segoe UI" w:eastAsia="Calibri" w:hAnsi="Segoe UI" w:cs="Segoe UI"/>
        </w:rPr>
      </w:pPr>
      <w:r w:rsidRPr="00884EF9">
        <w:rPr>
          <w:rFonts w:ascii="Segoe UI" w:eastAsia="Calibri" w:hAnsi="Segoe UI" w:cs="Segoe UI"/>
          <w:bCs/>
        </w:rPr>
        <w:t xml:space="preserve">Таким образом, застройщик может заключать договор с дольщиком не ранее, чем он зарегистрирует свои </w:t>
      </w:r>
      <w:hyperlink r:id="rId7" w:history="1">
        <w:r w:rsidRPr="00884EF9">
          <w:rPr>
            <w:rFonts w:ascii="Segoe UI" w:eastAsia="Calibri" w:hAnsi="Segoe UI" w:cs="Segoe UI"/>
          </w:rPr>
          <w:t xml:space="preserve">права </w:t>
        </w:r>
      </w:hyperlink>
      <w:r w:rsidRPr="00884EF9">
        <w:rPr>
          <w:rFonts w:ascii="Segoe UI" w:eastAsia="Calibri" w:hAnsi="Segoe UI" w:cs="Segoe UI"/>
          <w:bCs/>
        </w:rPr>
        <w:t xml:space="preserve">на земельный участок и получит разрешение на строительство. Застройщик обязан опубликовать проектную декларацию, </w:t>
      </w:r>
      <w:r w:rsidRPr="00884EF9">
        <w:rPr>
          <w:rFonts w:ascii="Segoe UI" w:eastAsia="Calibri" w:hAnsi="Segoe UI" w:cs="Segoe UI"/>
        </w:rPr>
        <w:t xml:space="preserve">включающую в себя информацию о застройщике и проекте строительства, </w:t>
      </w:r>
      <w:r w:rsidRPr="00884EF9">
        <w:rPr>
          <w:rFonts w:ascii="Segoe UI" w:eastAsia="Calibri" w:hAnsi="Segoe UI" w:cs="Segoe UI"/>
          <w:bCs/>
        </w:rPr>
        <w:t>обеспечивая тем самым публичный доступ к ней</w:t>
      </w:r>
      <w:r w:rsidRPr="00884EF9">
        <w:rPr>
          <w:rFonts w:ascii="Segoe UI" w:eastAsia="Calibri" w:hAnsi="Segoe UI" w:cs="Segoe UI"/>
        </w:rPr>
        <w:t>.</w:t>
      </w:r>
    </w:p>
    <w:p w:rsidR="00884EF9" w:rsidRPr="00884EF9" w:rsidRDefault="00884EF9" w:rsidP="00884EF9">
      <w:pPr>
        <w:ind w:firstLine="567"/>
        <w:jc w:val="both"/>
        <w:rPr>
          <w:rFonts w:ascii="Segoe UI" w:eastAsia="Calibri" w:hAnsi="Segoe UI" w:cs="Segoe UI"/>
        </w:rPr>
      </w:pPr>
      <w:r w:rsidRPr="00884EF9">
        <w:rPr>
          <w:rFonts w:ascii="Segoe UI" w:eastAsia="Calibri" w:hAnsi="Segoe UI" w:cs="Segoe UI"/>
        </w:rPr>
        <w:t>При этом существенными условиями, которые должны быть указаны в договоре участия в долевом строительстве (далее – ДДУ) являются:</w:t>
      </w:r>
    </w:p>
    <w:p w:rsidR="00884EF9" w:rsidRPr="00884EF9" w:rsidRDefault="00884EF9" w:rsidP="00884EF9">
      <w:pPr>
        <w:numPr>
          <w:ilvl w:val="0"/>
          <w:numId w:val="1"/>
        </w:numPr>
        <w:tabs>
          <w:tab w:val="clear" w:pos="1080"/>
          <w:tab w:val="num" w:pos="0"/>
        </w:tabs>
        <w:ind w:left="0" w:firstLine="540"/>
        <w:jc w:val="both"/>
        <w:rPr>
          <w:rFonts w:ascii="Segoe UI" w:eastAsia="Calibri" w:hAnsi="Segoe UI" w:cs="Segoe UI"/>
        </w:rPr>
      </w:pPr>
      <w:r w:rsidRPr="00884EF9">
        <w:rPr>
          <w:rFonts w:ascii="Segoe UI" w:eastAsia="Calibri" w:hAnsi="Segoe UI" w:cs="Segoe UI"/>
        </w:rPr>
        <w:t>Объект долевого строительства, который подлежит передаче участнику долевого строительства и должен быть определен в проектной документации.</w:t>
      </w:r>
    </w:p>
    <w:p w:rsidR="00884EF9" w:rsidRPr="00884EF9" w:rsidRDefault="00884EF9" w:rsidP="00884EF9">
      <w:pPr>
        <w:numPr>
          <w:ilvl w:val="0"/>
          <w:numId w:val="1"/>
        </w:numPr>
        <w:tabs>
          <w:tab w:val="clear" w:pos="1080"/>
          <w:tab w:val="num" w:pos="0"/>
        </w:tabs>
        <w:ind w:left="0" w:firstLine="540"/>
        <w:jc w:val="both"/>
        <w:rPr>
          <w:rFonts w:ascii="Segoe UI" w:eastAsia="Calibri" w:hAnsi="Segoe UI" w:cs="Segoe UI"/>
        </w:rPr>
      </w:pPr>
      <w:r w:rsidRPr="00884EF9">
        <w:rPr>
          <w:rFonts w:ascii="Segoe UI" w:eastAsia="Calibri" w:hAnsi="Segoe UI" w:cs="Segoe UI"/>
        </w:rPr>
        <w:t xml:space="preserve">Срок передачи объекта участнику долевого строительства (должен быть единым для всех участников долевого строительства). </w:t>
      </w:r>
    </w:p>
    <w:p w:rsidR="00884EF9" w:rsidRPr="00884EF9" w:rsidRDefault="00884EF9" w:rsidP="00884EF9">
      <w:pPr>
        <w:ind w:firstLine="540"/>
        <w:jc w:val="both"/>
        <w:rPr>
          <w:rFonts w:ascii="Segoe UI" w:eastAsia="Calibri" w:hAnsi="Segoe UI" w:cs="Segoe UI"/>
        </w:rPr>
      </w:pPr>
      <w:r w:rsidRPr="00884EF9">
        <w:rPr>
          <w:rFonts w:ascii="Segoe UI" w:eastAsia="Calibri" w:hAnsi="Segoe UI" w:cs="Segoe UI"/>
        </w:rPr>
        <w:t xml:space="preserve">В случае нарушения указанного срока застройщик уплачивает участнику долевого строительства неустойку (пени) в размере одной трехсотой </w:t>
      </w:r>
      <w:hyperlink r:id="rId8" w:history="1">
        <w:r w:rsidRPr="00884EF9">
          <w:rPr>
            <w:rFonts w:ascii="Segoe UI" w:eastAsia="Calibri" w:hAnsi="Segoe UI" w:cs="Segoe UI"/>
          </w:rPr>
          <w:t>ставки рефинансирования</w:t>
        </w:r>
      </w:hyperlink>
      <w:r w:rsidRPr="00884EF9">
        <w:rPr>
          <w:rFonts w:ascii="Segoe UI" w:eastAsia="Calibri" w:hAnsi="Segoe UI" w:cs="Segoe UI"/>
        </w:rPr>
        <w:t xml:space="preserve">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w:t>
      </w:r>
    </w:p>
    <w:p w:rsidR="00884EF9" w:rsidRPr="00884EF9" w:rsidRDefault="00884EF9" w:rsidP="00884EF9">
      <w:pPr>
        <w:autoSpaceDE w:val="0"/>
        <w:autoSpaceDN w:val="0"/>
        <w:adjustRightInd w:val="0"/>
        <w:ind w:firstLine="540"/>
        <w:jc w:val="both"/>
        <w:rPr>
          <w:rFonts w:ascii="Segoe UI" w:eastAsia="Calibri" w:hAnsi="Segoe UI" w:cs="Segoe UI"/>
        </w:rPr>
      </w:pPr>
      <w:r w:rsidRPr="00884EF9">
        <w:rPr>
          <w:rFonts w:ascii="Segoe UI" w:eastAsia="Calibri" w:hAnsi="Segoe UI" w:cs="Segoe UI"/>
        </w:rPr>
        <w:t xml:space="preserve"> Если строительство многоквартирного дома не может быть завершено в предусмотренный договором срок, застройщик обязан не позднее чем за два месяца до истечения указанного срока направить участнику долевого строительства предложение об изменении договора. Изменение срока передачи застройщиком объекта долевого строительства участнику долевого строительства осуществляется в порядке, </w:t>
      </w:r>
      <w:r w:rsidRPr="00884EF9">
        <w:rPr>
          <w:rFonts w:ascii="Segoe UI" w:eastAsia="Calibri" w:hAnsi="Segoe UI" w:cs="Segoe UI"/>
        </w:rPr>
        <w:lastRenderedPageBreak/>
        <w:t xml:space="preserve">установленном Гражданским </w:t>
      </w:r>
      <w:hyperlink r:id="rId9" w:history="1">
        <w:r w:rsidRPr="00884EF9">
          <w:rPr>
            <w:rFonts w:ascii="Segoe UI" w:eastAsia="Calibri" w:hAnsi="Segoe UI" w:cs="Segoe UI"/>
          </w:rPr>
          <w:t>кодексом</w:t>
        </w:r>
      </w:hyperlink>
      <w:r w:rsidRPr="00884EF9">
        <w:rPr>
          <w:rFonts w:ascii="Segoe UI" w:eastAsia="Calibri" w:hAnsi="Segoe UI" w:cs="Segoe UI"/>
        </w:rPr>
        <w:t xml:space="preserve"> РФ. При этом необходимо иметь  в виду, что заключение соглашения об изменении ДДУ в части срока передачи объекта является правом, а не обязанностью дольщика. В случае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участник долевого строительства вправе в одностороннем порядке отказаться от исполнения договора. </w:t>
      </w:r>
    </w:p>
    <w:p w:rsidR="00884EF9" w:rsidRPr="00884EF9" w:rsidRDefault="00884EF9" w:rsidP="00884EF9">
      <w:pPr>
        <w:numPr>
          <w:ilvl w:val="0"/>
          <w:numId w:val="1"/>
        </w:numPr>
        <w:tabs>
          <w:tab w:val="clear" w:pos="1080"/>
          <w:tab w:val="num" w:pos="0"/>
        </w:tabs>
        <w:ind w:left="0" w:firstLine="540"/>
        <w:jc w:val="both"/>
        <w:rPr>
          <w:rFonts w:ascii="Segoe UI" w:eastAsia="Calibri" w:hAnsi="Segoe UI" w:cs="Segoe UI"/>
        </w:rPr>
      </w:pPr>
      <w:r w:rsidRPr="00884EF9">
        <w:rPr>
          <w:rFonts w:ascii="Segoe UI" w:eastAsia="Calibri" w:hAnsi="Segoe UI" w:cs="Segoe UI"/>
        </w:rPr>
        <w:t xml:space="preserve"> Цена договора, порядок и сроки её уплаты участником долевого строительства. </w:t>
      </w:r>
    </w:p>
    <w:p w:rsidR="00884EF9" w:rsidRPr="00884EF9" w:rsidRDefault="00884EF9" w:rsidP="00884EF9">
      <w:pPr>
        <w:ind w:firstLine="540"/>
        <w:jc w:val="both"/>
        <w:rPr>
          <w:rFonts w:ascii="Segoe UI" w:eastAsia="Calibri" w:hAnsi="Segoe UI" w:cs="Segoe UI"/>
        </w:rPr>
      </w:pPr>
      <w:r w:rsidRPr="00884EF9">
        <w:rPr>
          <w:rFonts w:ascii="Segoe UI" w:eastAsia="Calibri" w:hAnsi="Segoe UI" w:cs="Segoe UI"/>
        </w:rPr>
        <w:t xml:space="preserve">Следует учитывать, что стоимость объекта может меняться после заключения договора только при условии, что такая возможность предусмотрена в договоре.  </w:t>
      </w:r>
    </w:p>
    <w:p w:rsidR="00884EF9" w:rsidRPr="00884EF9" w:rsidRDefault="00884EF9" w:rsidP="00884EF9">
      <w:pPr>
        <w:pStyle w:val="ConsPlusNormal"/>
        <w:ind w:firstLine="540"/>
        <w:jc w:val="both"/>
        <w:rPr>
          <w:rFonts w:ascii="Segoe UI" w:eastAsia="Calibri" w:hAnsi="Segoe UI" w:cs="Segoe UI"/>
          <w:sz w:val="24"/>
          <w:szCs w:val="24"/>
        </w:rPr>
      </w:pPr>
      <w:r w:rsidRPr="00884EF9">
        <w:rPr>
          <w:rFonts w:ascii="Segoe UI" w:eastAsia="Calibri" w:hAnsi="Segoe UI" w:cs="Segoe UI"/>
          <w:sz w:val="24"/>
          <w:szCs w:val="24"/>
        </w:rPr>
        <w:t xml:space="preserve">В случае нарушения срока внесения платежа дольщик уплачивает застройщику неустойку (пени) в размере одной трехсотой </w:t>
      </w:r>
      <w:hyperlink r:id="rId10" w:history="1">
        <w:r w:rsidRPr="00884EF9">
          <w:rPr>
            <w:rFonts w:ascii="Segoe UI" w:eastAsia="Calibri" w:hAnsi="Segoe UI" w:cs="Segoe UI"/>
            <w:sz w:val="24"/>
            <w:szCs w:val="24"/>
          </w:rPr>
          <w:t>ставки рефинансирования</w:t>
        </w:r>
      </w:hyperlink>
      <w:r w:rsidRPr="00884EF9">
        <w:rPr>
          <w:rFonts w:ascii="Segoe UI" w:eastAsia="Calibri" w:hAnsi="Segoe UI" w:cs="Segoe UI"/>
          <w:sz w:val="24"/>
          <w:szCs w:val="24"/>
        </w:rPr>
        <w:t xml:space="preserve"> Центрального банка РФ, действующей на день исполнения обязательства, от суммы просроченного платежа за каждый день просрочки.</w:t>
      </w:r>
    </w:p>
    <w:p w:rsidR="00884EF9" w:rsidRDefault="00884EF9" w:rsidP="00884EF9">
      <w:pPr>
        <w:pStyle w:val="ConsPlusNormal"/>
        <w:numPr>
          <w:ilvl w:val="0"/>
          <w:numId w:val="1"/>
        </w:numPr>
        <w:tabs>
          <w:tab w:val="clear" w:pos="1080"/>
          <w:tab w:val="num" w:pos="0"/>
        </w:tabs>
        <w:ind w:left="0" w:firstLine="540"/>
        <w:jc w:val="both"/>
        <w:rPr>
          <w:rFonts w:ascii="Segoe UI" w:eastAsia="Calibri" w:hAnsi="Segoe UI" w:cs="Segoe UI"/>
          <w:sz w:val="24"/>
          <w:szCs w:val="24"/>
        </w:rPr>
      </w:pPr>
      <w:r w:rsidRPr="00884EF9">
        <w:rPr>
          <w:rFonts w:ascii="Segoe UI" w:eastAsia="Calibri" w:hAnsi="Segoe UI" w:cs="Segoe UI"/>
          <w:sz w:val="24"/>
          <w:szCs w:val="24"/>
        </w:rPr>
        <w:t xml:space="preserve"> Гарантийный срок на объект долевого строительства (но не менее 5 лет).</w:t>
      </w:r>
    </w:p>
    <w:p w:rsidR="00884EF9" w:rsidRPr="00884EF9" w:rsidRDefault="00884EF9" w:rsidP="00884EF9">
      <w:pPr>
        <w:pStyle w:val="ConsPlusNormal"/>
        <w:numPr>
          <w:ilvl w:val="0"/>
          <w:numId w:val="1"/>
        </w:numPr>
        <w:tabs>
          <w:tab w:val="clear" w:pos="1080"/>
          <w:tab w:val="num" w:pos="0"/>
        </w:tabs>
        <w:ind w:left="0" w:firstLine="540"/>
        <w:jc w:val="both"/>
        <w:rPr>
          <w:rFonts w:ascii="Segoe UI" w:eastAsia="Calibri" w:hAnsi="Segoe UI" w:cs="Segoe UI"/>
          <w:sz w:val="24"/>
          <w:szCs w:val="24"/>
        </w:rPr>
      </w:pPr>
      <w:r>
        <w:rPr>
          <w:rFonts w:ascii="Segoe UI" w:eastAsia="Calibri" w:hAnsi="Segoe UI" w:cs="Segoe UI"/>
          <w:sz w:val="24"/>
          <w:szCs w:val="24"/>
        </w:rPr>
        <w:t xml:space="preserve"> </w:t>
      </w:r>
      <w:r w:rsidRPr="00884EF9">
        <w:rPr>
          <w:rFonts w:ascii="Segoe UI" w:eastAsia="Calibri" w:hAnsi="Segoe UI" w:cs="Segoe UI"/>
          <w:sz w:val="24"/>
          <w:szCs w:val="24"/>
        </w:rPr>
        <w:t>Способы обеспечения исполнения застройщиком обязательств по договору.</w:t>
      </w:r>
    </w:p>
    <w:p w:rsidR="00805EA3" w:rsidRPr="000E2BC9" w:rsidRDefault="00805EA3" w:rsidP="00037E91">
      <w:pPr>
        <w:shd w:val="clear" w:color="auto" w:fill="FFFFFF"/>
        <w:spacing w:line="360" w:lineRule="auto"/>
        <w:jc w:val="both"/>
        <w:outlineLvl w:val="0"/>
        <w:rPr>
          <w:rFonts w:ascii="Segoe UI" w:eastAsia="Calibri" w:hAnsi="Segoe UI" w:cs="Segoe UI"/>
        </w:rPr>
      </w:pPr>
    </w:p>
    <w:p w:rsidR="000E2BC9" w:rsidRPr="004B70AE" w:rsidRDefault="000E2BC9" w:rsidP="000E2BC9">
      <w:pPr>
        <w:shd w:val="clear" w:color="auto" w:fill="FFFFFF"/>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Управления Росреестра </w:t>
      </w:r>
    </w:p>
    <w:p w:rsidR="00237F9F" w:rsidRDefault="000E2BC9" w:rsidP="000E2BC9">
      <w:pPr>
        <w:shd w:val="clear" w:color="auto" w:fill="FFFFFF"/>
        <w:ind w:firstLine="567"/>
        <w:jc w:val="right"/>
        <w:outlineLvl w:val="0"/>
        <w:rPr>
          <w:rFonts w:ascii="Segoe UI" w:eastAsia="Calibri" w:hAnsi="Segoe UI" w:cs="Segoe UI"/>
        </w:rPr>
      </w:pPr>
      <w:r w:rsidRPr="004B70AE">
        <w:rPr>
          <w:rFonts w:ascii="Segoe UI" w:eastAsia="Calibri" w:hAnsi="Segoe UI" w:cs="Segoe UI"/>
        </w:rPr>
        <w:t>по Республике Карелия</w:t>
      </w:r>
    </w:p>
    <w:p w:rsidR="00037E91" w:rsidRDefault="00037E91" w:rsidP="000E5CD0">
      <w:pPr>
        <w:shd w:val="clear" w:color="auto" w:fill="FFFFFF"/>
        <w:outlineLvl w:val="0"/>
        <w:rPr>
          <w:rFonts w:ascii="Segoe UI" w:eastAsia="Calibri" w:hAnsi="Segoe UI" w:cs="Segoe UI"/>
        </w:rPr>
      </w:pPr>
    </w:p>
    <w:p w:rsidR="00037E91" w:rsidRDefault="00037E91" w:rsidP="000E2BC9">
      <w:pPr>
        <w:shd w:val="clear" w:color="auto" w:fill="FFFFFF"/>
        <w:ind w:firstLine="567"/>
        <w:jc w:val="right"/>
        <w:outlineLvl w:val="0"/>
        <w:rPr>
          <w:rFonts w:ascii="Segoe UI" w:eastAsia="Calibri" w:hAnsi="Segoe UI" w:cs="Segoe UI"/>
        </w:rPr>
      </w:pPr>
    </w:p>
    <w:p w:rsidR="00037E91" w:rsidRDefault="00037E91" w:rsidP="000E5CD0">
      <w:pPr>
        <w:shd w:val="clear" w:color="auto" w:fill="FFFFFF"/>
        <w:outlineLvl w:val="0"/>
        <w:rPr>
          <w:rFonts w:ascii="Segoe UI" w:eastAsia="Calibri" w:hAnsi="Segoe UI" w:cs="Segoe UI"/>
        </w:rPr>
      </w:pPr>
    </w:p>
    <w:p w:rsidR="001F630B" w:rsidRPr="00237F9F" w:rsidRDefault="001F630B"/>
    <w:sectPr w:rsidR="001F630B" w:rsidRPr="00237F9F" w:rsidSect="00805EA3">
      <w:headerReference w:type="default" r:id="rId11"/>
      <w:pgSz w:w="11906" w:h="16838"/>
      <w:pgMar w:top="1134" w:right="567"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88E" w:rsidRDefault="009C188E" w:rsidP="001F630B">
      <w:r>
        <w:separator/>
      </w:r>
    </w:p>
  </w:endnote>
  <w:endnote w:type="continuationSeparator" w:id="1">
    <w:p w:rsidR="009C188E" w:rsidRDefault="009C188E" w:rsidP="001F6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88E" w:rsidRDefault="009C188E" w:rsidP="001F630B">
      <w:r>
        <w:separator/>
      </w:r>
    </w:p>
  </w:footnote>
  <w:footnote w:type="continuationSeparator" w:id="1">
    <w:p w:rsidR="009C188E" w:rsidRDefault="009C188E"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r w:rsidR="001F630B" w:rsidRPr="00A17C38">
      <w:rPr>
        <w:rFonts w:ascii="Segoe UI" w:hAnsi="Segoe UI" w:cs="Segoe UI"/>
        <w:b/>
        <w:noProof/>
        <w:sz w:val="32"/>
        <w:szCs w:val="32"/>
        <w:lang w:eastAsia="sk-SK"/>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0BB5"/>
    <w:multiLevelType w:val="hybridMultilevel"/>
    <w:tmpl w:val="A9B29C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1F630B"/>
    <w:rsid w:val="0000354D"/>
    <w:rsid w:val="00037E91"/>
    <w:rsid w:val="0007245D"/>
    <w:rsid w:val="000B1301"/>
    <w:rsid w:val="000E2BC9"/>
    <w:rsid w:val="000E5CD0"/>
    <w:rsid w:val="00161E0F"/>
    <w:rsid w:val="0017037E"/>
    <w:rsid w:val="001F630B"/>
    <w:rsid w:val="00203CC9"/>
    <w:rsid w:val="00204D37"/>
    <w:rsid w:val="00237F9F"/>
    <w:rsid w:val="0025029C"/>
    <w:rsid w:val="002917E5"/>
    <w:rsid w:val="002A2E62"/>
    <w:rsid w:val="004D64F7"/>
    <w:rsid w:val="00531805"/>
    <w:rsid w:val="00572DFD"/>
    <w:rsid w:val="005B1CEC"/>
    <w:rsid w:val="00663E65"/>
    <w:rsid w:val="006B5677"/>
    <w:rsid w:val="006E7241"/>
    <w:rsid w:val="0070604A"/>
    <w:rsid w:val="00785A48"/>
    <w:rsid w:val="007D6839"/>
    <w:rsid w:val="00805EA3"/>
    <w:rsid w:val="00884EF9"/>
    <w:rsid w:val="00914A8C"/>
    <w:rsid w:val="009C188E"/>
    <w:rsid w:val="009E22D8"/>
    <w:rsid w:val="00AA6EAA"/>
    <w:rsid w:val="00AD0C95"/>
    <w:rsid w:val="00AE32FB"/>
    <w:rsid w:val="00B16024"/>
    <w:rsid w:val="00B72E1B"/>
    <w:rsid w:val="00B92612"/>
    <w:rsid w:val="00C3799B"/>
    <w:rsid w:val="00C87BEE"/>
    <w:rsid w:val="00DF718B"/>
    <w:rsid w:val="00EB1162"/>
    <w:rsid w:val="00FC2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Normal (Web)"/>
    <w:basedOn w:val="a"/>
    <w:uiPriority w:val="99"/>
    <w:unhideWhenUsed/>
    <w:rsid w:val="000E5CD0"/>
    <w:pPr>
      <w:spacing w:before="100" w:beforeAutospacing="1" w:after="100" w:afterAutospacing="1"/>
    </w:pPr>
  </w:style>
  <w:style w:type="character" w:customStyle="1" w:styleId="blk">
    <w:name w:val="blk"/>
    <w:basedOn w:val="a0"/>
    <w:rsid w:val="000E5CD0"/>
  </w:style>
  <w:style w:type="paragraph" w:customStyle="1" w:styleId="ab">
    <w:name w:val="a"/>
    <w:basedOn w:val="a"/>
    <w:rsid w:val="000E5CD0"/>
    <w:pPr>
      <w:spacing w:before="100" w:beforeAutospacing="1" w:after="100" w:afterAutospacing="1"/>
    </w:pPr>
  </w:style>
  <w:style w:type="character" w:styleId="ac">
    <w:name w:val="Strong"/>
    <w:basedOn w:val="a0"/>
    <w:uiPriority w:val="22"/>
    <w:qFormat/>
    <w:rsid w:val="00884EF9"/>
    <w:rPr>
      <w:b/>
      <w:bCs/>
    </w:rPr>
  </w:style>
  <w:style w:type="character" w:customStyle="1" w:styleId="f">
    <w:name w:val="f"/>
    <w:basedOn w:val="a0"/>
    <w:rsid w:val="00884EF9"/>
  </w:style>
</w:styles>
</file>

<file path=word/webSettings.xml><?xml version="1.0" encoding="utf-8"?>
<w:webSettings xmlns:r="http://schemas.openxmlformats.org/officeDocument/2006/relationships" xmlns:w="http://schemas.openxmlformats.org/wordprocessingml/2006/main">
  <w:divs>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29B2DD54BF27F174B9EB5ECD7F01726500AAF3DBAD9F88B3BE0C4F4T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ltypress.ru/article/article_9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936099C0574E4C40BCEF8EC1B7EB71E5467FDC1382B7091118988E1IAd8I" TargetMode="External"/><Relationship Id="rId4" Type="http://schemas.openxmlformats.org/officeDocument/2006/relationships/webSettings" Target="webSettings.xml"/><Relationship Id="rId9" Type="http://schemas.openxmlformats.org/officeDocument/2006/relationships/hyperlink" Target="consultantplus://offline/ref=B3140A2B5EE826218D33F46B0664C29D0294E5B5EA7D566F6FD3E2A75F43DDE5835EAFB69B1C0907zBW0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Zareckii</dc:creator>
  <cp:keywords/>
  <dc:description/>
  <cp:lastModifiedBy>А. С. Пунько</cp:lastModifiedBy>
  <cp:revision>12</cp:revision>
  <dcterms:created xsi:type="dcterms:W3CDTF">2017-10-05T06:32:00Z</dcterms:created>
  <dcterms:modified xsi:type="dcterms:W3CDTF">2018-04-20T08:46:00Z</dcterms:modified>
</cp:coreProperties>
</file>