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5661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Сбербанк запустил проект «Электронная деревня» в Республике Карелия</w:t>
      </w:r>
    </w:p>
    <w:p w14:paraId="6F16966F" w14:textId="77777777" w:rsidR="00F3602C" w:rsidRDefault="00F3602C" w:rsidP="00F3602C">
      <w:pPr>
        <w:pStyle w:val="2"/>
        <w:shd w:val="clear" w:color="auto" w:fill="ECEDEE"/>
        <w:spacing w:before="75" w:beforeAutospacing="0" w:after="75" w:afterAutospacing="0"/>
        <w:jc w:val="both"/>
        <w:rPr>
          <w:rFonts w:ascii="Tahoma" w:hAnsi="Tahoma" w:cs="Tahoma"/>
          <w:b w:val="0"/>
          <w:bCs w:val="0"/>
          <w:color w:val="6D7274"/>
          <w:sz w:val="32"/>
          <w:szCs w:val="32"/>
        </w:rPr>
      </w:pPr>
      <w:r>
        <w:rPr>
          <w:rFonts w:ascii="Tahoma" w:hAnsi="Tahoma" w:cs="Tahoma"/>
          <w:b w:val="0"/>
          <w:bCs w:val="0"/>
          <w:color w:val="6D7274"/>
          <w:sz w:val="32"/>
          <w:szCs w:val="32"/>
        </w:rPr>
        <w:t>16 марта</w:t>
      </w:r>
      <w:r>
        <w:rPr>
          <w:rStyle w:val="a6"/>
          <w:rFonts w:ascii="Tahoma" w:hAnsi="Tahoma" w:cs="Tahoma"/>
          <w:b w:val="0"/>
          <w:bCs w:val="0"/>
          <w:color w:val="6D7274"/>
          <w:sz w:val="32"/>
          <w:szCs w:val="32"/>
        </w:rPr>
        <w:t> 2015 г., г. Петрозаводск –</w:t>
      </w:r>
      <w:r>
        <w:rPr>
          <w:rFonts w:ascii="Tahoma" w:hAnsi="Tahoma" w:cs="Tahoma"/>
          <w:b w:val="0"/>
          <w:bCs w:val="0"/>
          <w:color w:val="6D7274"/>
          <w:sz w:val="32"/>
          <w:szCs w:val="32"/>
        </w:rPr>
        <w:t> Сбербанк России запустил проект «Электронная деревня», направленный на обеспечение доступности банковских и государственных электронных сервисов для жителей села.</w:t>
      </w:r>
    </w:p>
    <w:p w14:paraId="5096204D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Проект по обучению банковским услугам реализуется ОАО «Сбербанк России» совместно с Правительством Карелии  и компанией «МегаФон» в 10 населённых пунктах республики.</w:t>
      </w:r>
    </w:p>
    <w:p w14:paraId="2A620D1B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С помощью проекта жители удаленных населенных пунктов смогут, не выезжая в районные центры, совершать оплату штрафов ГИБДД, коммунальных и налоговых платежей, услуг связи, телевидения и Интернет, погасить кредит любого банка, а также оплатить услуги более чем 60 тысяч компаний. Дополнительно жители села смогут воспользоваться услугами портала Государственных услуг, например, записаться к врачу, подать документы на получение паспорта и задать вопросы муниципальным властям.</w:t>
      </w:r>
    </w:p>
    <w:p w14:paraId="0E9D8434" w14:textId="77777777" w:rsidR="00F3602C" w:rsidRDefault="00F3602C" w:rsidP="00F3602C">
      <w:pPr>
        <w:pStyle w:val="2"/>
        <w:shd w:val="clear" w:color="auto" w:fill="ECEDEE"/>
        <w:spacing w:before="75" w:beforeAutospacing="0" w:after="75" w:afterAutospacing="0"/>
        <w:jc w:val="both"/>
        <w:rPr>
          <w:rFonts w:ascii="Tahoma" w:hAnsi="Tahoma" w:cs="Tahoma"/>
          <w:b w:val="0"/>
          <w:bCs w:val="0"/>
          <w:color w:val="6D7274"/>
          <w:sz w:val="32"/>
          <w:szCs w:val="32"/>
        </w:rPr>
      </w:pPr>
      <w:r>
        <w:rPr>
          <w:rFonts w:ascii="Tahoma" w:hAnsi="Tahoma" w:cs="Tahoma"/>
          <w:b w:val="0"/>
          <w:bCs w:val="0"/>
          <w:color w:val="6D7274"/>
          <w:sz w:val="32"/>
          <w:szCs w:val="32"/>
        </w:rPr>
        <w:t>«Данный проект позволяет жителям удалённых населённых пунктов избежать лишних поездок в районный центр. Теперь получить банковские услуги, совершить коммунальные платежи или отправить запрос на предоставление государственных услуг можно посредством Интернет-киосков, которые будут установлены в общественных местах. Мы уверены, что «Электронная деревня» будет пользоваться большим спросом у жителей Карелии», - прокомментировала управляющий Карельским отделением ОАО «Сбербанк России Елена Палкина.</w:t>
      </w:r>
    </w:p>
    <w:p w14:paraId="4BE565A1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Телекоммуникационным партнером проекта «Электронная деревня» выступила компания «</w:t>
      </w:r>
      <w:hyperlink r:id="rId5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МегаФон</w:t>
        </w:r>
      </w:hyperlink>
      <w:r>
        <w:rPr>
          <w:rFonts w:ascii="Tahoma" w:hAnsi="Tahoma" w:cs="Tahoma"/>
          <w:color w:val="6D7274"/>
          <w:sz w:val="20"/>
          <w:szCs w:val="20"/>
        </w:rPr>
        <w:t>». Для обеспечения надежной интернет-связи, бесперебойной передачи данных крупнейший оператор сотовой связи республики предоставил свои SIM-карты и модемы. </w:t>
      </w:r>
    </w:p>
    <w:p w14:paraId="3A78A7CE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«Компания «МегаФон» имеет самую широкую зону покрытия в Карелии, а абонентами «МегаФона» являются более половины жителей республики. Среди клиентов нашей компании – органы исполнительной и законодательной власти, правоохранительные структуры, государственные и муниципальные учреждения. Корпоративными абонентами оператора являются все крупнейшие предприятия и организации региона. Высокое качество связи, современная техническая база и удобные тарифы стали отличительными преимуществами компании «МегаФон» в республике, – комментирует </w:t>
      </w:r>
      <w:r>
        <w:rPr>
          <w:rStyle w:val="a5"/>
          <w:rFonts w:ascii="Tahoma" w:hAnsi="Tahoma" w:cs="Tahoma"/>
          <w:color w:val="6D7274"/>
          <w:sz w:val="20"/>
          <w:szCs w:val="20"/>
        </w:rPr>
        <w:t>Алексей Артемьев</w:t>
      </w:r>
      <w:r>
        <w:rPr>
          <w:rFonts w:ascii="Tahoma" w:hAnsi="Tahoma" w:cs="Tahoma"/>
          <w:color w:val="6D7274"/>
          <w:sz w:val="20"/>
          <w:szCs w:val="20"/>
        </w:rPr>
        <w:t>, директор Карельского регионального отделения Северо-Западного филиала ОАО «МегаФон». – Мы гордимся многолетним сотрудничеством с ОАО «Сбербанк России» и рады принять участие в таком социально-важном для Карелии проекте».</w:t>
      </w:r>
    </w:p>
    <w:p w14:paraId="41CA6D44" w14:textId="77777777" w:rsidR="00F3602C" w:rsidRDefault="00F3602C" w:rsidP="00F3602C">
      <w:pPr>
        <w:pStyle w:val="2"/>
        <w:shd w:val="clear" w:color="auto" w:fill="ECEDEE"/>
        <w:spacing w:before="75" w:beforeAutospacing="0" w:after="75" w:afterAutospacing="0"/>
        <w:jc w:val="both"/>
        <w:rPr>
          <w:rFonts w:ascii="Tahoma" w:hAnsi="Tahoma" w:cs="Tahoma"/>
          <w:b w:val="0"/>
          <w:bCs w:val="0"/>
          <w:color w:val="6D7274"/>
          <w:sz w:val="32"/>
          <w:szCs w:val="32"/>
        </w:rPr>
      </w:pPr>
      <w:r>
        <w:rPr>
          <w:rFonts w:ascii="Tahoma" w:hAnsi="Tahoma" w:cs="Tahoma"/>
          <w:b w:val="0"/>
          <w:bCs w:val="0"/>
          <w:color w:val="6D7274"/>
          <w:sz w:val="32"/>
          <w:szCs w:val="32"/>
        </w:rPr>
        <w:t>В рамках проекта планируется установить 10 информационных киосков с подключением к сети Интернет в следующих населённых пунктах:</w:t>
      </w:r>
    </w:p>
    <w:p w14:paraId="0DCEA4F8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п. Эссойла Пряжинского района;</w:t>
      </w:r>
    </w:p>
    <w:p w14:paraId="4B9B7AB6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с. Видлица Олонецкого района;</w:t>
      </w:r>
    </w:p>
    <w:p w14:paraId="26BF6FEF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д. Мегрега Олонецкого района;</w:t>
      </w:r>
    </w:p>
    <w:p w14:paraId="1935F92C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п. Мелиоративный Прионежского района;</w:t>
      </w:r>
    </w:p>
    <w:p w14:paraId="46A4BC30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п. Ладва Прионежского района;</w:t>
      </w:r>
    </w:p>
    <w:p w14:paraId="38D467E9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п. Деревянка Прионежского района;</w:t>
      </w:r>
    </w:p>
    <w:p w14:paraId="47A333C1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с. Заозерье Прионежского района;</w:t>
      </w:r>
    </w:p>
    <w:p w14:paraId="5B055259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п. Кааламо Сортавальского района;</w:t>
      </w:r>
    </w:p>
    <w:p w14:paraId="7634F4FF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п. Кестеньга Лоухского района;</w:t>
      </w:r>
    </w:p>
    <w:p w14:paraId="68A7E494" w14:textId="77777777" w:rsidR="00F3602C" w:rsidRDefault="00F3602C" w:rsidP="00F3602C">
      <w:pPr>
        <w:numPr>
          <w:ilvl w:val="0"/>
          <w:numId w:val="4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lastRenderedPageBreak/>
        <w:t>пгт Повенец Медвежьегорского района.</w:t>
      </w:r>
    </w:p>
    <w:p w14:paraId="0BF8EB0B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# # #</w:t>
      </w:r>
    </w:p>
    <w:p w14:paraId="675DC056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6"/>
          <w:rFonts w:ascii="Tahoma" w:hAnsi="Tahoma" w:cs="Tahoma"/>
          <w:b/>
          <w:bCs/>
          <w:color w:val="6D7274"/>
          <w:sz w:val="20"/>
          <w:szCs w:val="20"/>
        </w:rPr>
        <w:t>Контакты:</w:t>
      </w:r>
    </w:p>
    <w:p w14:paraId="12A89E0E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6"/>
          <w:rFonts w:ascii="Tahoma" w:hAnsi="Tahoma" w:cs="Tahoma"/>
          <w:color w:val="6D7274"/>
          <w:sz w:val="20"/>
          <w:szCs w:val="20"/>
        </w:rPr>
        <w:t>Карельское отделение №8628 ОАО «Сбербанк России»</w:t>
      </w:r>
    </w:p>
    <w:p w14:paraId="69C42765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6"/>
          <w:rFonts w:ascii="Tahoma" w:hAnsi="Tahoma" w:cs="Tahoma"/>
          <w:color w:val="6D7274"/>
          <w:sz w:val="20"/>
          <w:szCs w:val="20"/>
        </w:rPr>
        <w:t>Пресс-служба</w:t>
      </w:r>
    </w:p>
    <w:p w14:paraId="25284341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6"/>
          <w:rFonts w:ascii="Tahoma" w:hAnsi="Tahoma" w:cs="Tahoma"/>
          <w:color w:val="6D7274"/>
          <w:sz w:val="20"/>
          <w:szCs w:val="20"/>
        </w:rPr>
        <w:t>Тел.: (814-2) 710-873</w:t>
      </w:r>
    </w:p>
    <w:p w14:paraId="14A8EE3B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6"/>
          <w:rFonts w:ascii="Tahoma" w:hAnsi="Tahoma" w:cs="Tahoma"/>
          <w:color w:val="6D7274"/>
          <w:sz w:val="20"/>
          <w:szCs w:val="20"/>
        </w:rPr>
        <w:t>E-mail: eeromanova@sberbank.ru</w:t>
      </w:r>
    </w:p>
    <w:p w14:paraId="2FC80A34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6"/>
          <w:rFonts w:ascii="Tahoma" w:hAnsi="Tahoma" w:cs="Tahoma"/>
          <w:color w:val="6D7274"/>
          <w:sz w:val="20"/>
          <w:szCs w:val="20"/>
        </w:rPr>
        <w:t>Елена Романова</w:t>
      </w:r>
    </w:p>
    <w:p w14:paraId="283C2C48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# # #</w:t>
      </w:r>
    </w:p>
    <w:p w14:paraId="277B9342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ОАО «Сбербанк России»</w:t>
      </w:r>
      <w:r>
        <w:rPr>
          <w:rFonts w:ascii="Tahoma" w:hAnsi="Tahoma" w:cs="Tahoma"/>
          <w:color w:val="6D7274"/>
          <w:sz w:val="20"/>
          <w:szCs w:val="20"/>
        </w:rPr>
        <w:t> – крупнейший банк в России, на долю которого приходится около трети активов всего российского банковского сектора. Учредителем и основным акционером ОАО «Сбербанк России» является Центральный банк Российской Федерации, владеющий 50% уставного капитала плюс одна голосующая акция. Другими акционерами Банка являются международные и российские инвесторы. Услугами Сбербанка пользуются более 100 млн физических лиц и около 1 млн предприятий. Банк располагает самой обширной филиальной сетью в России: более 18 тысяч отделений и внутренних структурных подразделений. Зарубежная сеть Банка состоит из дочерних банков, филиалов и представительств в 20 странах, в том числе в странах СНГ, Центральной и Восточной Европы и Турции.</w:t>
      </w:r>
    </w:p>
    <w:p w14:paraId="4ACD214B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Генеральная лицензия Банка России на осуществление банковских операций 1481. Официальный сайт Банка – </w:t>
      </w:r>
      <w:hyperlink r:id="rId6" w:tooltip="http://www.sberbank.ru/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www.sberbank.ru</w:t>
        </w:r>
      </w:hyperlink>
      <w:r>
        <w:rPr>
          <w:rFonts w:ascii="Tahoma" w:hAnsi="Tahoma" w:cs="Tahoma"/>
          <w:color w:val="6D7274"/>
          <w:sz w:val="20"/>
          <w:szCs w:val="20"/>
        </w:rPr>
        <w:t>.</w:t>
      </w:r>
    </w:p>
    <w:p w14:paraId="3A831DAD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Северо-Западный банк ОАО «Сбербанк России»</w:t>
      </w:r>
      <w:r>
        <w:rPr>
          <w:rFonts w:ascii="Tahoma" w:hAnsi="Tahoma" w:cs="Tahoma"/>
          <w:color w:val="6D7274"/>
          <w:sz w:val="20"/>
          <w:szCs w:val="20"/>
        </w:rPr>
        <w:t> работает на территории 7 субъектов РФ - Санкт-Петербурга, Ленинградской, Калининградской, Мурманской, Псковской, Новгородской областей, а также Республики Карелия. В настоящее время Северо-Западный банк Сбербанка России располагает самой развитой филиальной сетью в регионе, состоящей из более 1 тыс. офисов по обслуживанию клиентов.</w:t>
      </w:r>
    </w:p>
    <w:p w14:paraId="5316511C" w14:textId="77777777" w:rsidR="00F3602C" w:rsidRDefault="00F3602C" w:rsidP="00F3602C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Карельское отделение ОАО «Сбербанк России» </w:t>
      </w:r>
      <w:r>
        <w:rPr>
          <w:rFonts w:ascii="Tahoma" w:hAnsi="Tahoma" w:cs="Tahoma"/>
          <w:color w:val="6D7274"/>
          <w:sz w:val="20"/>
          <w:szCs w:val="20"/>
        </w:rPr>
        <w:t>работает на территории республики Карелия, имеет самую широкую филиальную сеть. Количество дополнительных офисов по обслуживанию физических лиц – 95, из них в 10 осуществляется обслуживание юридических  лиц и предпринимателей. В настоящее время на территории Карелии установлено  337 банкоматов; 339 устройств самообслуживания; 4325  электронных терминалов, установленных в торгово-сервисных точках.</w:t>
      </w:r>
    </w:p>
    <w:p w14:paraId="5F1CE669" w14:textId="13A3F24B" w:rsidR="00566969" w:rsidRPr="00F3602C" w:rsidRDefault="00566969" w:rsidP="00F3602C"/>
    <w:sectPr w:rsidR="00566969" w:rsidRPr="00F3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580"/>
    <w:multiLevelType w:val="multilevel"/>
    <w:tmpl w:val="CB0E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1039A8"/>
    <w:rsid w:val="00270ED4"/>
    <w:rsid w:val="00566969"/>
    <w:rsid w:val="00736276"/>
    <w:rsid w:val="00940DB0"/>
    <w:rsid w:val="00BF52B7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3602C"/>
    <w:rPr>
      <w:b/>
      <w:bCs/>
    </w:rPr>
  </w:style>
  <w:style w:type="character" w:styleId="a6">
    <w:name w:val="Emphasis"/>
    <w:basedOn w:val="a0"/>
    <w:uiPriority w:val="20"/>
    <w:qFormat/>
    <w:rsid w:val="00F36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" TargetMode="External"/><Relationship Id="rId5" Type="http://schemas.openxmlformats.org/officeDocument/2006/relationships/hyperlink" Target="https://karelia.megaf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2020-10-29T20:05:00Z</dcterms:created>
  <dcterms:modified xsi:type="dcterms:W3CDTF">2020-10-29T20:08:00Z</dcterms:modified>
</cp:coreProperties>
</file>