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br/>
        <w:t>Республика Карелия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Администрация </w:t>
      </w:r>
      <w:proofErr w:type="spellStart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proofErr w:type="gramStart"/>
      <w:r w:rsidRPr="009A5327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>П</w:t>
      </w:r>
      <w:proofErr w:type="gramEnd"/>
      <w:r w:rsidRPr="009A5327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 xml:space="preserve"> О С Т А Н О В Л Е Н И Е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От    21 мая  2014 года                                                                                   № 11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>Об утверждении ведомственной программы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 xml:space="preserve">Администрации </w:t>
      </w:r>
      <w:proofErr w:type="spellStart"/>
      <w:r w:rsidRPr="009A5327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>Мегрегского</w:t>
      </w:r>
      <w:proofErr w:type="spellEnd"/>
      <w:r w:rsidRPr="009A5327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 xml:space="preserve"> сельского поселения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 xml:space="preserve">противодействия коррупции в </w:t>
      </w:r>
      <w:proofErr w:type="spellStart"/>
      <w:r w:rsidRPr="009A5327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>Мегрегском</w:t>
      </w:r>
      <w:proofErr w:type="spellEnd"/>
      <w:r w:rsidRPr="009A5327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 xml:space="preserve"> сельском поселении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> на 2014-2018 годы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В целях повышения эффективности муниципального управления путем совершенствования </w:t>
      </w:r>
      <w:proofErr w:type="spellStart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антикоррупционных</w:t>
      </w:r>
      <w:proofErr w:type="spellEnd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механизмов, минимизации и последующего устранения коррупционных рисков в деятельности муниципальных служащих Администрация </w:t>
      </w:r>
      <w:proofErr w:type="spellStart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ПОСТАНОВЛЯЕТ: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1. Утвердить ведомственную </w:t>
      </w:r>
      <w:hyperlink r:id="rId4" w:anchor="Par29" w:history="1">
        <w:r w:rsidRPr="009A5327">
          <w:rPr>
            <w:rFonts w:ascii="Tahoma" w:eastAsia="Times New Roman" w:hAnsi="Tahoma" w:cs="Tahoma"/>
            <w:color w:val="0A8FCC"/>
            <w:sz w:val="16"/>
            <w:lang w:eastAsia="ru-RU"/>
          </w:rPr>
          <w:t>программу</w:t>
        </w:r>
      </w:hyperlink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Администрации </w:t>
      </w:r>
      <w:proofErr w:type="spellStart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  противодействия коррупции в </w:t>
      </w:r>
      <w:proofErr w:type="spellStart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Мегрегском</w:t>
      </w:r>
      <w:proofErr w:type="spellEnd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сельском поселении  на 2014-2018 годы (прилагается).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2.Распоряжение от 20.09.2010 № 56 –</w:t>
      </w:r>
      <w:proofErr w:type="spellStart"/>
      <w:proofErr w:type="gramStart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р</w:t>
      </w:r>
      <w:proofErr w:type="spellEnd"/>
      <w:proofErr w:type="gramEnd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«Об утверждении программы противодействия коррупции в администрации </w:t>
      </w:r>
      <w:proofErr w:type="spellStart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поселения» считать утратившим силу.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3.  Настоящее постановление подлежит опубликованию  на  сайте </w:t>
      </w:r>
      <w:proofErr w:type="spellStart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  </w:t>
      </w:r>
      <w:proofErr w:type="spellStart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www.megrega.ru</w:t>
      </w:r>
      <w:proofErr w:type="spellEnd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.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4. </w:t>
      </w:r>
      <w:proofErr w:type="gramStart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Контроль за</w:t>
      </w:r>
      <w:proofErr w:type="gramEnd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выполнением настоящего постановления возложить на специалиста 1 категории </w:t>
      </w:r>
      <w:proofErr w:type="spellStart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Прокушеву</w:t>
      </w:r>
      <w:proofErr w:type="spellEnd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В.Н.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Глава администрации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proofErr w:type="spellStart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                                                                      А.В. Козлова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bookmarkStart w:id="0" w:name="Par23"/>
      <w:bookmarkEnd w:id="0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Утверждено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постановлением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Администрации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proofErr w:type="spellStart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от 21.05.2014 N 11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bookmarkStart w:id="1" w:name="Par29"/>
      <w:bookmarkEnd w:id="1"/>
      <w:r w:rsidRPr="009A5327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>ВЕДОМСТВЕННАЯ ПРОГРАММА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>АДМИНИСТРАЦИИ МЕГРЕГСКОГО СЕЛЬСКОГО ПОСЕЛЕНИЯ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>"ПРОТИВОДЕЙСТВИЕ КОРРУПЦИИ В МЕГРЕГСКОМ СЕЛЬСКОМ ПОСЕЛЕНИИ  НА 2014-2018 ГОДЫ"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bookmarkStart w:id="2" w:name="Par34"/>
      <w:bookmarkEnd w:id="2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1. ПАСПОРТ ВЕДОМСТВЕННОЙ ПРОГРАММЫ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Администрации </w:t>
      </w:r>
      <w:proofErr w:type="spellStart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противодействия коррупции в </w:t>
      </w:r>
      <w:proofErr w:type="spellStart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Мегрегском</w:t>
      </w:r>
      <w:proofErr w:type="spellEnd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сельском поселении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на 2014-2018 годы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tbl>
      <w:tblPr>
        <w:tblW w:w="11748" w:type="dxa"/>
        <w:tblCellSpacing w:w="0" w:type="dxa"/>
        <w:shd w:val="clear" w:color="auto" w:fill="ECEDEE"/>
        <w:tblCellMar>
          <w:left w:w="0" w:type="dxa"/>
          <w:right w:w="0" w:type="dxa"/>
        </w:tblCellMar>
        <w:tblLook w:val="04A0"/>
      </w:tblPr>
      <w:tblGrid>
        <w:gridCol w:w="2484"/>
        <w:gridCol w:w="6216"/>
        <w:gridCol w:w="1016"/>
        <w:gridCol w:w="1016"/>
        <w:gridCol w:w="1016"/>
      </w:tblGrid>
      <w:tr w:rsidR="009A5327" w:rsidRPr="009A5327" w:rsidTr="009A5327">
        <w:trPr>
          <w:trHeight w:val="324"/>
          <w:tblCellSpacing w:w="0" w:type="dxa"/>
        </w:trPr>
        <w:tc>
          <w:tcPr>
            <w:tcW w:w="2760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Наименование Программы         </w:t>
            </w:r>
          </w:p>
        </w:tc>
        <w:tc>
          <w:tcPr>
            <w:tcW w:w="530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Противодействие коррупции в 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Мегрегском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сельском поселении  на 2014-2018 годы            </w:t>
            </w:r>
          </w:p>
        </w:tc>
        <w:tc>
          <w:tcPr>
            <w:tcW w:w="0" w:type="auto"/>
            <w:gridSpan w:val="3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</w:tr>
      <w:tr w:rsidR="009A5327" w:rsidRPr="009A5327" w:rsidTr="009A5327">
        <w:trPr>
          <w:trHeight w:val="324"/>
          <w:tblCellSpacing w:w="0" w:type="dxa"/>
        </w:trPr>
        <w:tc>
          <w:tcPr>
            <w:tcW w:w="2760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Сроки реализации Программы     </w:t>
            </w:r>
          </w:p>
        </w:tc>
        <w:tc>
          <w:tcPr>
            <w:tcW w:w="530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 01 января 2014 по 31 декабря 2018 года  </w:t>
            </w:r>
          </w:p>
        </w:tc>
        <w:tc>
          <w:tcPr>
            <w:tcW w:w="0" w:type="auto"/>
            <w:gridSpan w:val="3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</w:tr>
      <w:tr w:rsidR="009A5327" w:rsidRPr="009A5327" w:rsidTr="009A5327">
        <w:trPr>
          <w:trHeight w:val="324"/>
          <w:tblCellSpacing w:w="0" w:type="dxa"/>
        </w:trPr>
        <w:tc>
          <w:tcPr>
            <w:tcW w:w="2760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Цель Программы                 </w:t>
            </w:r>
          </w:p>
        </w:tc>
        <w:tc>
          <w:tcPr>
            <w:tcW w:w="530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Повышение эффективности 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управления путем совершенствования    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антикоррупционных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механизмов, укрепление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доверия населения муниципального образования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к деятельности Администрации 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Мегрегского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сельского поселения                             </w:t>
            </w:r>
          </w:p>
        </w:tc>
        <w:tc>
          <w:tcPr>
            <w:tcW w:w="0" w:type="auto"/>
            <w:gridSpan w:val="3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</w:tr>
      <w:tr w:rsidR="009A5327" w:rsidRPr="009A5327" w:rsidTr="009A5327">
        <w:trPr>
          <w:trHeight w:val="324"/>
          <w:tblCellSpacing w:w="0" w:type="dxa"/>
        </w:trPr>
        <w:tc>
          <w:tcPr>
            <w:tcW w:w="2760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Задачи Программы     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0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 1.     Сто процентная   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антикоррупционная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 экспертиза проектов      нормативных правовых  актов Администрации,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регламентация   муниципальных функций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lastRenderedPageBreak/>
              <w:t>(услуг).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2. Сто процентное    обеспечение  информационной открытости  деятельности Администрации.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3. Совершенствование деятельности  Администрации при размещении  муниципального  заказа.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4. Снижение потерь при   реализации полномочий в области распоряжения муниципальным имуществом и земельными ресурсами.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5. Совершенствование кадровой политики в области противодействия коррупции.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6. 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Образовательная и  просветительская  деятельность в области  противодействия коррупции (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антикоррупционная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    </w:t>
            </w:r>
            <w:proofErr w:type="gramEnd"/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пропаганда)               </w:t>
            </w:r>
          </w:p>
        </w:tc>
        <w:tc>
          <w:tcPr>
            <w:tcW w:w="122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lastRenderedPageBreak/>
              <w:t>    100   </w:t>
            </w:r>
          </w:p>
        </w:tc>
        <w:tc>
          <w:tcPr>
            <w:tcW w:w="122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 100   </w:t>
            </w:r>
          </w:p>
        </w:tc>
        <w:tc>
          <w:tcPr>
            <w:tcW w:w="122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 100   </w:t>
            </w:r>
          </w:p>
        </w:tc>
      </w:tr>
      <w:tr w:rsidR="009A5327" w:rsidRPr="009A5327" w:rsidTr="009A5327">
        <w:trPr>
          <w:trHeight w:val="324"/>
          <w:tblCellSpacing w:w="0" w:type="dxa"/>
        </w:trPr>
        <w:tc>
          <w:tcPr>
            <w:tcW w:w="2760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lastRenderedPageBreak/>
              <w:t>Наименование показателей конечных результатов Программы и методик их расчета и (или) получения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0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1. Количество НПА, 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прошедших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антикоррупционную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экспертизу,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количество НПА, в содержании 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которых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выявлены 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коррупциогенные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 факторы.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2.  Количество муниципальных услуг, предоставляемых 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в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электронном 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виде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.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3.  Целевое использование выделенных земельных участков,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находящихся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в муниципальной собственности, и земельных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участков, государственная собственность на которые не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разграничена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, находящихся в аренде.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4.  Целевое использование муниципального имущества, находящегося в аренде.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5.  Количество проведенных проверок на предмет эффективности    использования бюджетных средств.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6. Количество обращений (сообщений) 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коррупционных   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правонарушениях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муниципальных служащих.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7. Количество обращений (сообщений) 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коррупционных   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правонарушениях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муниципальных служащих.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8. Количество муниципальных служащих, представивших   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недостоверные (неполные) сведения о доходах, об имуществе и   обязательствах имущественного характера.                                      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9. Количество проведенных проверок соблюдения муниципальными   служащими установленных запретов и ограничений, требований о предотвращении или урегулировании конфликта интересов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10. Количество служащих, прошедших повышение квалификации в области противодействия коррупции.                    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11. Количество полиграфических (печатных) материалов.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22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</w:tr>
      <w:tr w:rsidR="009A5327" w:rsidRPr="009A5327" w:rsidTr="009A5327">
        <w:trPr>
          <w:trHeight w:val="324"/>
          <w:tblCellSpacing w:w="0" w:type="dxa"/>
        </w:trPr>
        <w:tc>
          <w:tcPr>
            <w:tcW w:w="2760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0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</w:tr>
      <w:tr w:rsidR="009A5327" w:rsidRPr="009A5327" w:rsidTr="009A5327">
        <w:trPr>
          <w:trHeight w:val="324"/>
          <w:tblCellSpacing w:w="0" w:type="dxa"/>
        </w:trPr>
        <w:tc>
          <w:tcPr>
            <w:tcW w:w="2760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Объем расходов бюджета 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Мегрегского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сельского поселения  на реализацию ВП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0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2014 г – 10 тыс. руб.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2015 г – 10 тыс. руб.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2016 г – 15 тыс. руб.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2017 г. – 15 тыс. руб.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2018 г. – 15 тыс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.р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уб.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Всего -    55 тыс. руб.</w:t>
            </w:r>
          </w:p>
        </w:tc>
        <w:tc>
          <w:tcPr>
            <w:tcW w:w="122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</w:tr>
      <w:tr w:rsidR="009A5327" w:rsidRPr="009A5327" w:rsidTr="009A5327">
        <w:trPr>
          <w:trHeight w:val="324"/>
          <w:tblCellSpacing w:w="0" w:type="dxa"/>
        </w:trPr>
        <w:tc>
          <w:tcPr>
            <w:tcW w:w="2760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за реализацию Программы</w:t>
            </w:r>
          </w:p>
        </w:tc>
        <w:tc>
          <w:tcPr>
            <w:tcW w:w="530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Глава администрации 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Мегрегского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сельского поселения или уполномоченное лицо</w:t>
            </w:r>
          </w:p>
        </w:tc>
        <w:tc>
          <w:tcPr>
            <w:tcW w:w="122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</w:tr>
      <w:tr w:rsidR="009A5327" w:rsidRPr="009A5327" w:rsidTr="009A5327">
        <w:trPr>
          <w:trHeight w:val="324"/>
          <w:tblCellSpacing w:w="0" w:type="dxa"/>
        </w:trPr>
        <w:tc>
          <w:tcPr>
            <w:tcW w:w="2760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Мониторинг  Программы  </w:t>
            </w:r>
          </w:p>
        </w:tc>
        <w:tc>
          <w:tcPr>
            <w:tcW w:w="530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До 20 числа месяца, следующего за 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отчетным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           </w:t>
            </w:r>
          </w:p>
        </w:tc>
        <w:tc>
          <w:tcPr>
            <w:tcW w:w="122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</w:tr>
    </w:tbl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bookmarkStart w:id="3" w:name="Par60"/>
      <w:bookmarkStart w:id="4" w:name="Par143"/>
      <w:bookmarkEnd w:id="3"/>
      <w:bookmarkEnd w:id="4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bookmarkStart w:id="5" w:name="Par156"/>
      <w:bookmarkEnd w:id="5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2. </w:t>
      </w:r>
      <w:bookmarkStart w:id="6" w:name="Par158"/>
      <w:bookmarkEnd w:id="6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Характеристика цели и задач,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на </w:t>
      </w:r>
      <w:proofErr w:type="gramStart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достижение</w:t>
      </w:r>
      <w:proofErr w:type="gramEnd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которых направлена Программа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tbl>
      <w:tblPr>
        <w:tblW w:w="7788" w:type="dxa"/>
        <w:tblCellSpacing w:w="0" w:type="dxa"/>
        <w:shd w:val="clear" w:color="auto" w:fill="ECEDEE"/>
        <w:tblCellMar>
          <w:left w:w="0" w:type="dxa"/>
          <w:right w:w="0" w:type="dxa"/>
        </w:tblCellMar>
        <w:tblLook w:val="04A0"/>
      </w:tblPr>
      <w:tblGrid>
        <w:gridCol w:w="1644"/>
        <w:gridCol w:w="6144"/>
      </w:tblGrid>
      <w:tr w:rsidR="009A5327" w:rsidRPr="009A5327" w:rsidTr="009A5327">
        <w:trPr>
          <w:trHeight w:val="1416"/>
          <w:tblCellSpacing w:w="0" w:type="dxa"/>
        </w:trPr>
        <w:tc>
          <w:tcPr>
            <w:tcW w:w="164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Характеристика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состояния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развития сферы</w:t>
            </w:r>
          </w:p>
        </w:tc>
        <w:tc>
          <w:tcPr>
            <w:tcW w:w="614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Особое положение органов местного самоуправления в системе публичной власти обусловливает отличительные черты коррупционности, присущие должностным лицам муниципального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уровня.                                           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Анализ данной проблемы показывает, что немаловажным   фактором влияния на коррупционность муниципальных служащих являются более частые контакты с гражданами и юридическими лицами (представителями негосударственного сектора), чем  у чиновников регионального и федерального уровня.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Чем более широкий круг муниципальных служащих будет   вовлечен в совместные 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антикоррупционные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мероприятия, тем выше должна стать эффективность противодействия коррупции.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Для решения данной проблемы необходимо пропагандировать  практическое значение работы муниципальных служащих, демонстрировать важность выполняемой ими работы. В этих целях требуется особое внимание руководства Администрации  к вопросам разъяснения муниципальным служащим их целей и  задач, значения их работы.                       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Для повышения эффективности 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антикоррупционных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мероприятий необходимо действовать по двум основным направлениям: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 вести пропаганду морально-этических принципов надлежащей деятельности на службе и демонстрировать неотвратимость  наказания за совершение коррупционных правонарушений.</w:t>
            </w:r>
          </w:p>
        </w:tc>
      </w:tr>
      <w:tr w:rsidR="009A5327" w:rsidRPr="009A5327" w:rsidTr="009A5327">
        <w:trPr>
          <w:trHeight w:val="1440"/>
          <w:tblCellSpacing w:w="0" w:type="dxa"/>
        </w:trPr>
        <w:tc>
          <w:tcPr>
            <w:tcW w:w="164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lastRenderedPageBreak/>
              <w:t>Описание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проблем и цели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Программы          </w:t>
            </w:r>
          </w:p>
        </w:tc>
        <w:tc>
          <w:tcPr>
            <w:tcW w:w="614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Серьезную угрозу эффективности 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антикоррупционных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мероприятий представляет недопонимание отдельными муниципальными служащими недопустимости и  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коррупциогенности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тех или иных действий.         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Главные цели Программы - повышение эффективности 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управления путем совершенствования 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антикоррупционных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 механизмов, проведение эффективной политики по   предупреждению коррупции в Администрации, укрепление доверия населения к деятельности Администрации.           </w:t>
            </w:r>
          </w:p>
        </w:tc>
      </w:tr>
      <w:tr w:rsidR="009A5327" w:rsidRPr="009A5327" w:rsidTr="009A5327">
        <w:trPr>
          <w:trHeight w:val="3036"/>
          <w:tblCellSpacing w:w="0" w:type="dxa"/>
        </w:trPr>
        <w:tc>
          <w:tcPr>
            <w:tcW w:w="164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Описание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состава задач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Программы         </w:t>
            </w:r>
          </w:p>
        </w:tc>
        <w:tc>
          <w:tcPr>
            <w:tcW w:w="614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 обеспечить открытость и доступность информации о деятельности  Администрации;                       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 реализовать меры, направленные на совершенствование кадровой политики в Администрации, с целью  минимизации факторов, порождающих коррупцию;                 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- повысить профессиональный уровень 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муниципальных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служащих;                                        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  повысить роль комиссии по соблюдению требований к служебному поведению муниципальных служащих и  урегулированию конфликтов интересов в Администрации;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 обеспечить своевременное внесение изменений и дополнений в регламенты исполнения муниципальных функций и предоставления муниципальных услуг;              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- повысить правовую культуру населения и активно привлекать граждан, общественные организации и средства массовой информации, в т.ч. сайта администрации  к деятельности по противодействию  коррупции на территории 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Мегрегского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сельского поселения;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- проводить постоянный 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антикоррупционный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мониторинг в Администрации   поселения.                                         </w:t>
            </w:r>
          </w:p>
        </w:tc>
      </w:tr>
    </w:tbl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bookmarkStart w:id="7" w:name="Par217"/>
      <w:bookmarkEnd w:id="7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bookmarkStart w:id="8" w:name="Par257"/>
      <w:bookmarkEnd w:id="8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3. Порядок управления Программой (описание механизма ее реализации),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формы и порядок осуществления мониторинга реализации Программы,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сроки и порядок формирования отчета о реализации Программы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tbl>
      <w:tblPr>
        <w:tblW w:w="7788" w:type="dxa"/>
        <w:tblCellSpacing w:w="0" w:type="dxa"/>
        <w:shd w:val="clear" w:color="auto" w:fill="ECEDEE"/>
        <w:tblCellMar>
          <w:left w:w="0" w:type="dxa"/>
          <w:right w:w="0" w:type="dxa"/>
        </w:tblCellMar>
        <w:tblLook w:val="04A0"/>
      </w:tblPr>
      <w:tblGrid>
        <w:gridCol w:w="1848"/>
        <w:gridCol w:w="5940"/>
      </w:tblGrid>
      <w:tr w:rsidR="009A5327" w:rsidRPr="009A5327" w:rsidTr="009A5327">
        <w:trPr>
          <w:trHeight w:val="960"/>
          <w:tblCellSpacing w:w="0" w:type="dxa"/>
        </w:trPr>
        <w:tc>
          <w:tcPr>
            <w:tcW w:w="1848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Ответственный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за мониторинг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реализации ВП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и составление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форм отчетности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 реализации ВП</w:t>
            </w:r>
          </w:p>
        </w:tc>
        <w:tc>
          <w:tcPr>
            <w:tcW w:w="5940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Прокушева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В.Н. – специалист 1 категории администрации 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Мегрегского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сельского поселения            </w:t>
            </w:r>
          </w:p>
        </w:tc>
      </w:tr>
      <w:tr w:rsidR="009A5327" w:rsidRPr="009A5327" w:rsidTr="009A5327">
        <w:trPr>
          <w:trHeight w:val="480"/>
          <w:tblCellSpacing w:w="0" w:type="dxa"/>
        </w:trPr>
        <w:tc>
          <w:tcPr>
            <w:tcW w:w="1848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Сроки 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текущего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мониторинга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реализации Программы    </w:t>
            </w:r>
          </w:p>
        </w:tc>
        <w:tc>
          <w:tcPr>
            <w:tcW w:w="5940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До 20 числа месяца, следующего за 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отчетным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           </w:t>
            </w:r>
          </w:p>
        </w:tc>
      </w:tr>
      <w:tr w:rsidR="009A5327" w:rsidRPr="009A5327" w:rsidTr="009A5327">
        <w:trPr>
          <w:trHeight w:val="1764"/>
          <w:tblCellSpacing w:w="0" w:type="dxa"/>
        </w:trPr>
        <w:tc>
          <w:tcPr>
            <w:tcW w:w="1848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Порядок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установления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форм 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текущего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мониторинга: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отчетности о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реализации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мероприятий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Программы и форм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отчетности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 реализации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показателей Программы </w:t>
            </w:r>
          </w:p>
        </w:tc>
        <w:tc>
          <w:tcPr>
            <w:tcW w:w="5940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Полугодовой и ежегодный мониторинг в течение двадцати дней месяца,    следующего 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за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отчетным,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результаты мониторинга  направляются Главе  Администрации       </w:t>
            </w:r>
          </w:p>
        </w:tc>
      </w:tr>
    </w:tbl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bookmarkStart w:id="9" w:name="Par296"/>
      <w:bookmarkEnd w:id="9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4. Оценка рисков реализации Программы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shd w:val="clear" w:color="auto" w:fill="ECEDEE"/>
        <w:tblCellMar>
          <w:left w:w="0" w:type="dxa"/>
          <w:right w:w="0" w:type="dxa"/>
        </w:tblCellMar>
        <w:tblLook w:val="04A0"/>
      </w:tblPr>
      <w:tblGrid>
        <w:gridCol w:w="3996"/>
        <w:gridCol w:w="3792"/>
      </w:tblGrid>
      <w:tr w:rsidR="009A5327" w:rsidRPr="009A5327" w:rsidTr="009A5327">
        <w:trPr>
          <w:trHeight w:val="324"/>
          <w:tblCellSpacing w:w="0" w:type="dxa"/>
        </w:trPr>
        <w:tc>
          <w:tcPr>
            <w:tcW w:w="3996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Внутренние риски реализации Программы      </w:t>
            </w:r>
          </w:p>
        </w:tc>
        <w:tc>
          <w:tcPr>
            <w:tcW w:w="3792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Административно-управленческие,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организационно-структурные        </w:t>
            </w:r>
          </w:p>
        </w:tc>
      </w:tr>
      <w:tr w:rsidR="009A5327" w:rsidRPr="009A5327" w:rsidTr="009A5327">
        <w:trPr>
          <w:tblCellSpacing w:w="0" w:type="dxa"/>
        </w:trPr>
        <w:tc>
          <w:tcPr>
            <w:tcW w:w="3996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Внешние риски реализации Программы         </w:t>
            </w:r>
          </w:p>
        </w:tc>
        <w:tc>
          <w:tcPr>
            <w:tcW w:w="3792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Отсутствуют                       </w:t>
            </w:r>
          </w:p>
        </w:tc>
      </w:tr>
      <w:tr w:rsidR="009A5327" w:rsidRPr="009A5327" w:rsidTr="009A5327">
        <w:trPr>
          <w:trHeight w:val="480"/>
          <w:tblCellSpacing w:w="0" w:type="dxa"/>
        </w:trPr>
        <w:tc>
          <w:tcPr>
            <w:tcW w:w="3996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Возможные косвенные последствия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реализации Программы, носящие 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отрицательный</w:t>
            </w:r>
            <w:proofErr w:type="gramEnd"/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характер                            </w:t>
            </w:r>
          </w:p>
        </w:tc>
        <w:tc>
          <w:tcPr>
            <w:tcW w:w="3792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Отсутствуют                       </w:t>
            </w:r>
          </w:p>
        </w:tc>
      </w:tr>
    </w:tbl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bookmarkStart w:id="10" w:name="Par309"/>
      <w:bookmarkEnd w:id="10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5. Методика оценки экономической и общественной эффективности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реализации Программы и по возможности плановое значение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экономической и общественной эффективности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реализации Программы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shd w:val="clear" w:color="auto" w:fill="ECEDEE"/>
        <w:tblCellMar>
          <w:left w:w="0" w:type="dxa"/>
          <w:right w:w="0" w:type="dxa"/>
        </w:tblCellMar>
        <w:tblLook w:val="04A0"/>
      </w:tblPr>
      <w:tblGrid>
        <w:gridCol w:w="2964"/>
        <w:gridCol w:w="4812"/>
      </w:tblGrid>
      <w:tr w:rsidR="009A5327" w:rsidRPr="009A5327" w:rsidTr="009A5327">
        <w:trPr>
          <w:trHeight w:val="1116"/>
          <w:tblCellSpacing w:w="0" w:type="dxa"/>
        </w:trPr>
        <w:tc>
          <w:tcPr>
            <w:tcW w:w="296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Показатели 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общественной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эффективности реализации Программы</w:t>
            </w:r>
          </w:p>
        </w:tc>
        <w:tc>
          <w:tcPr>
            <w:tcW w:w="4812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- создание условий для обеспечения 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большей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прозрачности и подконтрольности деятельности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Администрации;                      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- снижение издержек граждан и организаций 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на</w:t>
            </w:r>
            <w:proofErr w:type="gramEnd"/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преодоление административных барьеров;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 повышение уровня служебной этики  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lastRenderedPageBreak/>
              <w:t>муниципальных служащих Администрации        </w:t>
            </w:r>
          </w:p>
        </w:tc>
      </w:tr>
      <w:tr w:rsidR="009A5327" w:rsidRPr="009A5327" w:rsidTr="009A5327">
        <w:trPr>
          <w:trHeight w:val="1284"/>
          <w:tblCellSpacing w:w="0" w:type="dxa"/>
        </w:trPr>
        <w:tc>
          <w:tcPr>
            <w:tcW w:w="296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lastRenderedPageBreak/>
              <w:t xml:space="preserve">Показатели 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экономической</w:t>
            </w:r>
            <w:proofErr w:type="gram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эффективности реализации Программы</w:t>
            </w:r>
          </w:p>
        </w:tc>
        <w:tc>
          <w:tcPr>
            <w:tcW w:w="4812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 улучшение инвестиционного климата, создание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условий для долгосрочного инвестирования;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 обеспечение большей прозрачности закупок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за счет средств бюджета 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Менгрегского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сельского поселения, соблюдение принципов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открытости и конкуренции при заключении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муниципальных контрактов;           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 оптимизация деятельности Администрации    </w:t>
            </w:r>
          </w:p>
        </w:tc>
      </w:tr>
    </w:tbl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bookmarkStart w:id="11" w:name="Par333"/>
      <w:bookmarkEnd w:id="11"/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6. Структурные подразделения, ответственные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за выполнение задач Программы</w:t>
      </w:r>
    </w:p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9A5327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tbl>
      <w:tblPr>
        <w:tblW w:w="7788" w:type="dxa"/>
        <w:tblCellSpacing w:w="0" w:type="dxa"/>
        <w:shd w:val="clear" w:color="auto" w:fill="ECEDEE"/>
        <w:tblCellMar>
          <w:left w:w="0" w:type="dxa"/>
          <w:right w:w="0" w:type="dxa"/>
        </w:tblCellMar>
        <w:tblLook w:val="04A0"/>
      </w:tblPr>
      <w:tblGrid>
        <w:gridCol w:w="4098"/>
        <w:gridCol w:w="3690"/>
      </w:tblGrid>
      <w:tr w:rsidR="009A5327" w:rsidRPr="009A5327" w:rsidTr="009A5327">
        <w:trPr>
          <w:trHeight w:val="480"/>
          <w:tblCellSpacing w:w="0" w:type="dxa"/>
        </w:trPr>
        <w:tc>
          <w:tcPr>
            <w:tcW w:w="4092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      Наименование задач Программы       </w:t>
            </w:r>
          </w:p>
        </w:tc>
        <w:tc>
          <w:tcPr>
            <w:tcW w:w="368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Ответственные за выполнение задач Программы     </w:t>
            </w:r>
          </w:p>
        </w:tc>
      </w:tr>
      <w:tr w:rsidR="009A5327" w:rsidRPr="009A5327" w:rsidTr="009A5327">
        <w:trPr>
          <w:trHeight w:val="636"/>
          <w:tblCellSpacing w:w="0" w:type="dxa"/>
        </w:trPr>
        <w:tc>
          <w:tcPr>
            <w:tcW w:w="4092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Антикоррупционная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экспертиза проектов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нормативных правовых актов   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Администрации, регламентация 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муниципальных функций (услуг)        </w:t>
            </w:r>
          </w:p>
        </w:tc>
        <w:tc>
          <w:tcPr>
            <w:tcW w:w="368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Специалист 1 категории 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Прокушева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В.Н.                    </w:t>
            </w:r>
          </w:p>
        </w:tc>
      </w:tr>
      <w:tr w:rsidR="009A5327" w:rsidRPr="009A5327" w:rsidTr="009A5327">
        <w:trPr>
          <w:trHeight w:val="480"/>
          <w:tblCellSpacing w:w="0" w:type="dxa"/>
        </w:trPr>
        <w:tc>
          <w:tcPr>
            <w:tcW w:w="4092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Обеспечение информационной открытости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деятельности Администрации           </w:t>
            </w:r>
          </w:p>
        </w:tc>
        <w:tc>
          <w:tcPr>
            <w:tcW w:w="368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Специалист 1 категории Ивашкевич Е.Б.                    </w:t>
            </w:r>
          </w:p>
        </w:tc>
      </w:tr>
      <w:tr w:rsidR="009A5327" w:rsidRPr="009A5327" w:rsidTr="009A5327">
        <w:trPr>
          <w:trHeight w:val="324"/>
          <w:tblCellSpacing w:w="0" w:type="dxa"/>
        </w:trPr>
        <w:tc>
          <w:tcPr>
            <w:tcW w:w="4092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Мониторинг коррупционных рисков      </w:t>
            </w:r>
          </w:p>
        </w:tc>
        <w:tc>
          <w:tcPr>
            <w:tcW w:w="368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 Специалист 1 категории 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Прокушева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В.Н.</w:t>
            </w:r>
          </w:p>
        </w:tc>
      </w:tr>
      <w:tr w:rsidR="009A5327" w:rsidRPr="009A5327" w:rsidTr="009A5327">
        <w:trPr>
          <w:trHeight w:val="480"/>
          <w:tblCellSpacing w:w="0" w:type="dxa"/>
        </w:trPr>
        <w:tc>
          <w:tcPr>
            <w:tcW w:w="4092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Совершенствование деятельности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Администрации при размещении 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муниципального заказа                </w:t>
            </w:r>
          </w:p>
        </w:tc>
        <w:tc>
          <w:tcPr>
            <w:tcW w:w="368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Специалист 1 категории Ивашкевич Е.Б.                    </w:t>
            </w:r>
          </w:p>
        </w:tc>
      </w:tr>
      <w:tr w:rsidR="009A5327" w:rsidRPr="009A5327" w:rsidTr="009A5327">
        <w:trPr>
          <w:trHeight w:val="636"/>
          <w:tblCellSpacing w:w="0" w:type="dxa"/>
        </w:trPr>
        <w:tc>
          <w:tcPr>
            <w:tcW w:w="4092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Снижение потерь от исполнения    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полномочий в области распоряжения 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муниципальным имуществом и </w:t>
            </w: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земельными</w:t>
            </w:r>
            <w:proofErr w:type="gramEnd"/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ресурсами                            </w:t>
            </w:r>
          </w:p>
        </w:tc>
        <w:tc>
          <w:tcPr>
            <w:tcW w:w="368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Специалист 1 категории Ивашкевич Е.Б.                    </w:t>
            </w:r>
          </w:p>
        </w:tc>
      </w:tr>
      <w:tr w:rsidR="009A5327" w:rsidRPr="009A5327" w:rsidTr="009A5327">
        <w:trPr>
          <w:trHeight w:val="324"/>
          <w:tblCellSpacing w:w="0" w:type="dxa"/>
        </w:trPr>
        <w:tc>
          <w:tcPr>
            <w:tcW w:w="4092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Совершенствование кадровой политики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в области противодействия коррупции  </w:t>
            </w:r>
          </w:p>
        </w:tc>
        <w:tc>
          <w:tcPr>
            <w:tcW w:w="368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Специалист 1 категории 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Прокушева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В.Н.                    </w:t>
            </w:r>
          </w:p>
        </w:tc>
      </w:tr>
      <w:tr w:rsidR="009A5327" w:rsidRPr="009A5327" w:rsidTr="009A5327">
        <w:trPr>
          <w:trHeight w:val="636"/>
          <w:tblCellSpacing w:w="0" w:type="dxa"/>
        </w:trPr>
        <w:tc>
          <w:tcPr>
            <w:tcW w:w="4092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Образовательная и просветительская   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деятельность в области противодействия</w:t>
            </w:r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gram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коррупции (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антикоррупционная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       </w:t>
            </w:r>
            <w:proofErr w:type="gramEnd"/>
          </w:p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пропаганда)                          </w:t>
            </w:r>
          </w:p>
        </w:tc>
        <w:tc>
          <w:tcPr>
            <w:tcW w:w="3684" w:type="dxa"/>
            <w:shd w:val="clear" w:color="auto" w:fill="ECEDEE"/>
            <w:vAlign w:val="center"/>
            <w:hideMark/>
          </w:tcPr>
          <w:p w:rsidR="009A5327" w:rsidRPr="009A5327" w:rsidRDefault="009A5327" w:rsidP="009A532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Специалист 1 категории </w:t>
            </w:r>
            <w:proofErr w:type="spellStart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Прокушева</w:t>
            </w:r>
            <w:proofErr w:type="spellEnd"/>
            <w:r w:rsidRPr="009A5327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В.Н.                     </w:t>
            </w:r>
          </w:p>
        </w:tc>
      </w:tr>
    </w:tbl>
    <w:p w:rsidR="009A5327" w:rsidRPr="009A5327" w:rsidRDefault="009A5327" w:rsidP="009A5327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hyperlink r:id="rId5" w:history="1">
        <w:r w:rsidRPr="009A5327">
          <w:rPr>
            <w:rFonts w:ascii="Tahoma" w:eastAsia="Times New Roman" w:hAnsi="Tahoma" w:cs="Tahoma"/>
            <w:color w:val="0A8FCC"/>
            <w:sz w:val="16"/>
            <w:lang w:eastAsia="ru-RU"/>
          </w:rPr>
          <w:t xml:space="preserve">постановление 11 программа </w:t>
        </w:r>
        <w:proofErr w:type="spellStart"/>
        <w:r w:rsidRPr="009A5327">
          <w:rPr>
            <w:rFonts w:ascii="Tahoma" w:eastAsia="Times New Roman" w:hAnsi="Tahoma" w:cs="Tahoma"/>
            <w:color w:val="0A8FCC"/>
            <w:sz w:val="16"/>
            <w:lang w:eastAsia="ru-RU"/>
          </w:rPr>
          <w:t>мероприятиямероприяти</w:t>
        </w:r>
        <w:proofErr w:type="spellEnd"/>
        <w:r w:rsidRPr="009A5327">
          <w:rPr>
            <w:rFonts w:ascii="Tahoma" w:eastAsia="Times New Roman" w:hAnsi="Tahoma" w:cs="Tahoma"/>
            <w:color w:val="0A8FCC"/>
            <w:sz w:val="16"/>
            <w:lang w:eastAsia="ru-RU"/>
          </w:rPr>
          <w:t xml:space="preserve"> программы</w:t>
        </w:r>
      </w:hyperlink>
    </w:p>
    <w:p w:rsidR="006470A8" w:rsidRPr="009A5327" w:rsidRDefault="006470A8" w:rsidP="009A5327"/>
    <w:sectPr w:rsidR="006470A8" w:rsidRPr="009A5327" w:rsidSect="0064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27"/>
    <w:rsid w:val="006470A8"/>
    <w:rsid w:val="009A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327"/>
    <w:rPr>
      <w:b/>
      <w:bCs/>
    </w:rPr>
  </w:style>
  <w:style w:type="character" w:styleId="a5">
    <w:name w:val="Hyperlink"/>
    <w:basedOn w:val="a0"/>
    <w:uiPriority w:val="99"/>
    <w:semiHidden/>
    <w:unhideWhenUsed/>
    <w:rsid w:val="009A5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grega.ru/Korrupchia/postanovlenie_11_programma_meroprijatijameroprijat.xls" TargetMode="External"/><Relationship Id="rId4" Type="http://schemas.openxmlformats.org/officeDocument/2006/relationships/hyperlink" Target="http://www.megrega.ru/publ/antikorrupcionnaja_rabota/protivodejstvie_korrupcii/p_o_s_t_a_n_o_v_l_e_n_i_e_ot_21_maja_2014_goda_11/20-1-0-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1802</Words>
  <Characters>10275</Characters>
  <Application>Microsoft Office Word</Application>
  <DocSecurity>0</DocSecurity>
  <Lines>85</Lines>
  <Paragraphs>24</Paragraphs>
  <ScaleCrop>false</ScaleCrop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1</cp:revision>
  <dcterms:created xsi:type="dcterms:W3CDTF">2020-04-13T13:44:00Z</dcterms:created>
  <dcterms:modified xsi:type="dcterms:W3CDTF">2020-04-13T13:44:00Z</dcterms:modified>
</cp:coreProperties>
</file>