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01023" w:rsidRPr="00201023" w:rsidTr="00201023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201023" w:rsidRPr="00201023" w:rsidRDefault="00201023" w:rsidP="00201023">
            <w:pPr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Т</w:t>
            </w:r>
            <w:r w:rsidRPr="00201023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ребования к индивидуальным приборам учета. Виды общедомовых приборов учета, мероприятия по снижению затрат на общедомовые нужды.</w:t>
            </w:r>
          </w:p>
        </w:tc>
      </w:tr>
    </w:tbl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Действующим законодатель</w:t>
      </w:r>
      <w:bookmarkStart w:id="0" w:name="_GoBack"/>
      <w:bookmarkEnd w:id="0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ством установлена обязанность всех потребителей </w:t>
      </w:r>
      <w:proofErr w:type="gram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оплачивать</w:t>
      </w:r>
      <w:proofErr w:type="gramEnd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коммунальные услуги, потребленные в квартире и предоставленные на общедомовые нужды.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Так при отсутствии индивидуальных и общедомовых приборов учета электроэнергии, холодной и горячей воды, жители оплачивают эти коммунальные ресурсы исходя из нормативов потребления. В данном случае потребитель платит каждый месяц за одинаковый объем ресурса, который может отличаться от того, сколько на самом деле потреблено воды или электроэнергии.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Однако практика перехода на платежи за коммунальные ресурсы по приборам учета позволяет сразу экономить 10-30% от прежней стоимости коммунальных услуг. Обращаем внимание, что обязанность собственников по установке индивидуальных, квартирных и общедомовых приборов учета на все виды коммунальных ресурсов (электроэнергия, холодная и горячая воды, газ, тепло) установлена Федеральным законом № 261-ФЗ «Об энергосбережении и повышении энергетической эффективности».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настоящее время существует большой выбор приборов учета всех коммунальных ресурсов, изготовленных крупными российскими заводами, имеющих приемлемую цену и хорошее качество.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 индивидуальным приборам учета предъявляется несколько основных требований, позволяющих принимать их учету: прибор учета должен быть опломбирован, соответствовать классу точности и срокам поверки.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 каждого типа прибора срок поверки (поверочный интервал) разный, он указывается в паспорте на такой прибор. Если срок поверки прибора учета истекает, то такой прибор учета необходимо отдать на поверку в специализированную организацию либо заменить. Приборы учета с истекшим сроком поверки к учету коммунального ресурса не допускаются.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 учету электрической энергии допускаются приборы учета класса точности не ниже 2,0. Следовательно, все приборы учета старого </w:t>
      </w:r>
      <w:proofErr w:type="gram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образца</w:t>
      </w:r>
      <w:proofErr w:type="gramEnd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имеющие класс точности 2,5 подлежат замене, даже если они работают.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Установка счетчиков должна осуществляться организацией, имеющей необходимые разрешения и допуски.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После установки счетчика необходимо обратиться в организацию, выставляющую счета за соответствующую коммунальную услугу с документами на такой счетчик. После чего потребитель должен ежемесячно передавать показания счетчика и оплачивать фактически потребленный объем коммунального ресурса.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отношении установки общедомовых приборов учета следует отметить, что решение об их установке должно быть принято на общем собрании в многоквартирном доме.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Для типового многоквартирного дома требуется:</w:t>
      </w:r>
    </w:p>
    <w:p w:rsidR="00201023" w:rsidRPr="00201023" w:rsidRDefault="00201023" w:rsidP="002010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общедомовой прибор учета электроэнергии;</w:t>
      </w:r>
    </w:p>
    <w:p w:rsidR="00201023" w:rsidRPr="00201023" w:rsidRDefault="00201023" w:rsidP="002010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общедомовой прибор учета холодной воды;</w:t>
      </w:r>
    </w:p>
    <w:p w:rsidR="00201023" w:rsidRPr="00201023" w:rsidRDefault="00201023" w:rsidP="002010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общедомовой прибор учета горячей воды;</w:t>
      </w:r>
    </w:p>
    <w:p w:rsidR="00201023" w:rsidRPr="00201023" w:rsidRDefault="00201023" w:rsidP="002010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общедомовой прибор учета газа;</w:t>
      </w:r>
    </w:p>
    <w:p w:rsidR="00201023" w:rsidRPr="00201023" w:rsidRDefault="00201023" w:rsidP="0020102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общедомовой узел учета тепловой энергии.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Однако</w:t>
      </w:r>
      <w:proofErr w:type="gram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</w:t>
      </w:r>
      <w:proofErr w:type="gramEnd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если общедомовые приборы учета не были установлены собственниками помещений в многоквартирном доме до 2012 года, то поставщики коммунальных ресурсов имеют право сами установить такие приборы учета в Вашем доме. В этом случае все собственники помещений в многоквартирном доме будут обязаны оплатить расходы по их установке.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После установки общедомовых приборов учета коммунальных ресурсов оплата услуг будет производиться по их показаниям, а не по нормативам.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>Нужно иметь в виду, что индивидуально сэкономить на оплате коммунальных услуг, предоставленных в доме, построенному по устаревшим типовым проектным нормам, не получится (к сожалению, таких домов большинство у нас в стране).</w:t>
      </w:r>
      <w:proofErr w:type="gramEnd"/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таких домах экономить коммунальные ресурсы необходимо сообща, путем проведения мероприятий по повышению </w:t>
      </w:r>
      <w:proofErr w:type="spell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энергоэффективности</w:t>
      </w:r>
      <w:proofErr w:type="spellEnd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своевременному предоставлению показаний всех индивидуальных и общедомовых приборов учета.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целях снижения затрат, связанных с расходами на общедомовые нужды собственникам самостоятельно (путем принятия решения общим собранием), либо с привлечением сторонних организаций и </w:t>
      </w:r>
      <w:proofErr w:type="spell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ресурсоснабжающей</w:t>
      </w:r>
      <w:proofErr w:type="spellEnd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организации необходимо провести ряд мероприятий, в том числе: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1) провести замену индивидуальных приборов учета коммунальных ресурсов с просроченными сроками эксплуатации и поверки, согласно требованиям пунктов 1.5.13, 1.5.15 Правил устройства электроустановок (далее – ПУЭ);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2) привести в соответствие с ПУЭ внутридомовые системы (электроснабжения, водоснабжения, теплоснабжения) от места соединения общедомового прибора учета до индивидуальных приборов учета коммунального ресурса, исключив при этом несанкционированное подключение (п. 1.5.13, 1.5.15 ПУЭ);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3) представителю совета дома принимать участие в снятии показаний с общедомового прибора учета и проверке их объективности наряду с представителями управляющей организации и </w:t>
      </w:r>
      <w:proofErr w:type="spell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ресурсоснабжающей</w:t>
      </w:r>
      <w:proofErr w:type="spellEnd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предварительно направив информацию о данном представителе и его контактные телефоны;</w:t>
      </w:r>
    </w:p>
    <w:p w:rsidR="00201023" w:rsidRPr="00201023" w:rsidRDefault="00201023" w:rsidP="00201023">
      <w:pPr>
        <w:shd w:val="clear" w:color="auto" w:fill="FFFFFF"/>
        <w:spacing w:before="100" w:beforeAutospacing="1" w:after="100" w:afterAutospacing="1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4) ежемесячно производить снятие показаний всех индивидуальных приборов учета электроэнергии одновременно со снятием показаний общедомового прибора учета и представлять их в </w:t>
      </w:r>
      <w:proofErr w:type="spellStart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ресурсоснабжающую</w:t>
      </w:r>
      <w:proofErr w:type="spellEnd"/>
      <w:r w:rsidRPr="00201023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организацию.</w:t>
      </w:r>
    </w:p>
    <w:p w:rsidR="00201023" w:rsidRPr="00201023" w:rsidRDefault="00201023" w:rsidP="00201023">
      <w:pPr>
        <w:shd w:val="clear" w:color="auto" w:fill="FFFFFF"/>
        <w:jc w:val="center"/>
        <w:rPr>
          <w:rFonts w:ascii="Arial CYR" w:eastAsia="Times New Roman" w:hAnsi="Arial CYR" w:cs="Arial CYR"/>
          <w:color w:val="283555"/>
          <w:sz w:val="18"/>
          <w:szCs w:val="18"/>
          <w:lang w:eastAsia="ru-RU"/>
        </w:rPr>
      </w:pPr>
      <w:r w:rsidRPr="00201023">
        <w:rPr>
          <w:rFonts w:ascii="Arial CYR" w:eastAsia="Times New Roman" w:hAnsi="Arial CYR" w:cs="Arial CYR"/>
          <w:color w:val="283555"/>
          <w:sz w:val="18"/>
          <w:szCs w:val="18"/>
          <w:lang w:eastAsia="ru-RU"/>
        </w:rPr>
        <w:t>Исходная страница: </w:t>
      </w:r>
      <w:hyperlink r:id="rId6" w:history="1">
        <w:r w:rsidRPr="00201023">
          <w:rPr>
            <w:rFonts w:ascii="Arial CYR" w:eastAsia="Times New Roman" w:hAnsi="Arial CYR" w:cs="Arial CYR"/>
            <w:color w:val="105198"/>
            <w:sz w:val="18"/>
            <w:szCs w:val="18"/>
            <w:lang w:eastAsia="ru-RU"/>
          </w:rPr>
          <w:t>http://gov.karelia.ru/gov/News/2015/09/0922_03.html</w:t>
        </w:r>
      </w:hyperlink>
    </w:p>
    <w:p w:rsidR="009D2268" w:rsidRDefault="009D2268"/>
    <w:sectPr w:rsidR="009D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7E8"/>
    <w:multiLevelType w:val="multilevel"/>
    <w:tmpl w:val="98CA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23"/>
    <w:rsid w:val="001E49A6"/>
    <w:rsid w:val="00201023"/>
    <w:rsid w:val="009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character" w:customStyle="1" w:styleId="menu3br">
    <w:name w:val="menu3br"/>
    <w:basedOn w:val="a0"/>
    <w:rsid w:val="00201023"/>
  </w:style>
  <w:style w:type="paragraph" w:styleId="af3">
    <w:name w:val="Normal (Web)"/>
    <w:basedOn w:val="a"/>
    <w:uiPriority w:val="99"/>
    <w:semiHidden/>
    <w:unhideWhenUsed/>
    <w:rsid w:val="002010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023"/>
  </w:style>
  <w:style w:type="character" w:styleId="af4">
    <w:name w:val="Hyperlink"/>
    <w:basedOn w:val="a0"/>
    <w:uiPriority w:val="99"/>
    <w:semiHidden/>
    <w:unhideWhenUsed/>
    <w:rsid w:val="00201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A6"/>
  </w:style>
  <w:style w:type="paragraph" w:styleId="1">
    <w:name w:val="heading 1"/>
    <w:basedOn w:val="a"/>
    <w:next w:val="a"/>
    <w:link w:val="10"/>
    <w:uiPriority w:val="9"/>
    <w:qFormat/>
    <w:rsid w:val="001E49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9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9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4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9A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9A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9A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9A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E49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E49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E49A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E49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E49A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E49A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E49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E49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E49A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E49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E49A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E49A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E49A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E49A6"/>
    <w:rPr>
      <w:b/>
      <w:bCs/>
    </w:rPr>
  </w:style>
  <w:style w:type="character" w:styleId="a8">
    <w:name w:val="Emphasis"/>
    <w:uiPriority w:val="20"/>
    <w:qFormat/>
    <w:rsid w:val="001E49A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E49A6"/>
    <w:rPr>
      <w:szCs w:val="32"/>
    </w:rPr>
  </w:style>
  <w:style w:type="paragraph" w:styleId="aa">
    <w:name w:val="List Paragraph"/>
    <w:basedOn w:val="a"/>
    <w:uiPriority w:val="34"/>
    <w:qFormat/>
    <w:rsid w:val="001E49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49A6"/>
    <w:rPr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1E49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49A6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1E49A6"/>
    <w:rPr>
      <w:b/>
      <w:i/>
      <w:sz w:val="24"/>
    </w:rPr>
  </w:style>
  <w:style w:type="character" w:styleId="ad">
    <w:name w:val="Subtle Emphasis"/>
    <w:uiPriority w:val="19"/>
    <w:qFormat/>
    <w:rsid w:val="001E49A6"/>
    <w:rPr>
      <w:i/>
      <w:color w:val="5A5A5A"/>
    </w:rPr>
  </w:style>
  <w:style w:type="character" w:styleId="ae">
    <w:name w:val="Intense Emphasis"/>
    <w:uiPriority w:val="21"/>
    <w:qFormat/>
    <w:rsid w:val="001E49A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E49A6"/>
    <w:rPr>
      <w:sz w:val="24"/>
      <w:szCs w:val="24"/>
      <w:u w:val="single"/>
    </w:rPr>
  </w:style>
  <w:style w:type="character" w:styleId="af0">
    <w:name w:val="Intense Reference"/>
    <w:uiPriority w:val="32"/>
    <w:qFormat/>
    <w:rsid w:val="001E49A6"/>
    <w:rPr>
      <w:b/>
      <w:sz w:val="24"/>
      <w:u w:val="single"/>
    </w:rPr>
  </w:style>
  <w:style w:type="character" w:styleId="af1">
    <w:name w:val="Book Title"/>
    <w:uiPriority w:val="33"/>
    <w:qFormat/>
    <w:rsid w:val="001E49A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E49A6"/>
    <w:pPr>
      <w:outlineLvl w:val="9"/>
    </w:pPr>
  </w:style>
  <w:style w:type="character" w:customStyle="1" w:styleId="menu3br">
    <w:name w:val="menu3br"/>
    <w:basedOn w:val="a0"/>
    <w:rsid w:val="00201023"/>
  </w:style>
  <w:style w:type="paragraph" w:styleId="af3">
    <w:name w:val="Normal (Web)"/>
    <w:basedOn w:val="a"/>
    <w:uiPriority w:val="99"/>
    <w:semiHidden/>
    <w:unhideWhenUsed/>
    <w:rsid w:val="002010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023"/>
  </w:style>
  <w:style w:type="character" w:styleId="af4">
    <w:name w:val="Hyperlink"/>
    <w:basedOn w:val="a0"/>
    <w:uiPriority w:val="99"/>
    <w:semiHidden/>
    <w:unhideWhenUsed/>
    <w:rsid w:val="00201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23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karelia.ru/gov/News/2015/09/0922_0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1</cp:revision>
  <dcterms:created xsi:type="dcterms:W3CDTF">2015-09-24T07:13:00Z</dcterms:created>
  <dcterms:modified xsi:type="dcterms:W3CDTF">2015-09-24T07:14:00Z</dcterms:modified>
</cp:coreProperties>
</file>